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19.12 -->
  <w:body>
    <w:tbl>
      <w:tblPr>
        <w:tblW w:w="9072" w:type="dxa"/>
        <w:tblCellMar>
          <w:left w:w="0" w:type="dxa"/>
          <w:right w:w="0" w:type="dxa"/>
        </w:tblCellMar>
        <w:tblLook w:val="01E0"/>
      </w:tblPr>
      <w:tblGrid>
        <w:gridCol w:w="6804"/>
        <w:gridCol w:w="2268"/>
      </w:tblGrid>
      <w:tr w14:paraId="0BF93522" w14:textId="77777777" w:rsidTr="0010095E">
        <w:tblPrEx>
          <w:tblW w:w="9072" w:type="dxa"/>
          <w:tblCellMar>
            <w:left w:w="0" w:type="dxa"/>
            <w:right w:w="0" w:type="dxa"/>
          </w:tblCellMar>
          <w:tblLook w:val="01E0"/>
        </w:tblPrEx>
        <w:trPr>
          <w:trHeight w:hRule="exact" w:val="1418"/>
        </w:trPr>
        <w:tc>
          <w:tcPr>
            <w:tcW w:w="6804" w:type="dxa"/>
            <w:shd w:val="clear" w:color="auto" w:fill="auto"/>
            <w:vAlign w:val="center"/>
          </w:tcPr>
          <w:p w:rsidR="00751A4A" w:rsidRPr="00A110D9" w:rsidP="0010095E" w14:paraId="435C72F4" w14:textId="77777777">
            <w:pPr>
              <w:pStyle w:val="EPName"/>
            </w:pPr>
            <w:r w:rsidRPr="00A110D9">
              <w:t>Parlement européen</w:t>
            </w:r>
          </w:p>
          <w:p w:rsidR="00751A4A" w:rsidRPr="00A110D9" w:rsidP="005F1B17" w14:paraId="4CB2CBCA" w14:textId="77777777">
            <w:pPr>
              <w:pStyle w:val="EPTerm"/>
              <w:rPr>
                <w:rStyle w:val="HideTWBExt"/>
                <w:noProof w:val="0"/>
                <w:vanish w:val="0"/>
                <w:color w:val="auto"/>
              </w:rPr>
            </w:pPr>
            <w:r w:rsidRPr="00A110D9">
              <w:t>2024</w:t>
            </w:r>
            <w:r w:rsidRPr="00A110D9" w:rsidR="00817416">
              <w:t>-202</w:t>
            </w:r>
            <w:r w:rsidRPr="00A110D9">
              <w:t>9</w:t>
            </w:r>
          </w:p>
        </w:tc>
        <w:tc>
          <w:tcPr>
            <w:tcW w:w="2268" w:type="dxa"/>
            <w:shd w:val="clear" w:color="auto" w:fill="auto"/>
          </w:tcPr>
          <w:p w:rsidR="00751A4A" w:rsidRPr="00A110D9" w:rsidP="0010095E" w14:paraId="0240D35C" w14:textId="77777777">
            <w:pPr>
              <w:pStyle w:val="EPLogo"/>
            </w:pPr>
            <w:r w:rsidRPr="00A110D9">
              <w:rPr>
                <w:noProof/>
                <w:lang w:eastAsia="ja-JP"/>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005946" name="Picture 1" descr="EP logo RGB_Mute"/>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58875" cy="652145"/>
                          </a:xfrm>
                          <a:prstGeom prst="rect">
                            <a:avLst/>
                          </a:prstGeom>
                          <a:noFill/>
                          <a:ln>
                            <a:noFill/>
                          </a:ln>
                        </pic:spPr>
                      </pic:pic>
                    </a:graphicData>
                  </a:graphic>
                </wp:inline>
              </w:drawing>
            </w:r>
          </w:p>
        </w:tc>
      </w:tr>
    </w:tbl>
    <w:p w:rsidR="00D058B8" w:rsidRPr="00A110D9" w:rsidP="004C5D52" w14:paraId="7278227B" w14:textId="77777777">
      <w:pPr>
        <w:pStyle w:val="LineTop"/>
      </w:pPr>
    </w:p>
    <w:p w:rsidR="00680577" w:rsidRPr="00A110D9" w:rsidP="00680577" w14:paraId="05CFC44F" w14:textId="77777777">
      <w:pPr>
        <w:pStyle w:val="EPBodyTA1"/>
      </w:pPr>
      <w:r w:rsidRPr="00A110D9">
        <w:t>TEXTES ADOPTÉS</w:t>
      </w:r>
    </w:p>
    <w:p w:rsidR="00D058B8" w:rsidRPr="00A110D9" w:rsidP="00D058B8" w14:paraId="0EAACA2B" w14:textId="77777777">
      <w:pPr>
        <w:pStyle w:val="LineBottom"/>
      </w:pPr>
    </w:p>
    <w:p w:rsidR="00061DB8" w:rsidRPr="00A110D9" w:rsidP="00061DB8" w14:paraId="491A8154" w14:textId="0FA5DB0C">
      <w:pPr>
        <w:pStyle w:val="ATHeading1"/>
      </w:pPr>
      <w:bookmarkStart w:id="0" w:name="TANumber"/>
      <w:r w:rsidRPr="00A110D9">
        <w:t>P10_</w:t>
      </w:r>
      <w:r w:rsidRPr="00A110D9">
        <w:t>TA(</w:t>
      </w:r>
      <w:r w:rsidRPr="00A110D9">
        <w:t>2026)0</w:t>
      </w:r>
      <w:bookmarkEnd w:id="0"/>
      <w:r w:rsidR="0088464E">
        <w:t>304</w:t>
      </w:r>
    </w:p>
    <w:p w:rsidR="00061DB8" w:rsidRPr="00A110D9" w:rsidP="00061DB8" w14:paraId="18E045B7" w14:textId="77777777">
      <w:pPr>
        <w:pStyle w:val="ATHeading2"/>
      </w:pPr>
      <w:bookmarkStart w:id="1" w:name="title"/>
      <w:r w:rsidRPr="00A110D9">
        <w:t>Stratégie de l’Union européenne en matière de maladies cardiovasculaires</w:t>
      </w:r>
      <w:bookmarkEnd w:id="1"/>
    </w:p>
    <w:p w:rsidR="00061DB8" w:rsidRPr="00A110D9" w:rsidP="00061DB8" w14:paraId="6EDF3AEB" w14:textId="77777777">
      <w:pPr>
        <w:rPr>
          <w:i/>
          <w:vanish/>
        </w:rPr>
      </w:pPr>
      <w:r>
        <w:rPr>
          <w:i/>
        </w:rPr>
        <w:fldChar w:fldCharType="begin"/>
      </w:r>
      <w:r w:rsidRPr="00A110D9">
        <w:rPr>
          <w:i/>
        </w:rPr>
        <w:instrText xml:space="preserve"> TC</w:instrText>
      </w:r>
      <w:r w:rsidRPr="00A110D9">
        <w:rPr>
          <w:i/>
        </w:rPr>
        <w:instrText>"(</w:instrText>
      </w:r>
      <w:bookmarkStart w:id="2" w:name="DocNumber"/>
      <w:r w:rsidRPr="00A110D9">
        <w:rPr>
          <w:i/>
        </w:rPr>
        <w:instrText>A10-0221/2026</w:instrText>
      </w:r>
      <w:bookmarkEnd w:id="2"/>
      <w:r w:rsidRPr="00A110D9">
        <w:rPr>
          <w:i/>
        </w:rPr>
        <w:instrText xml:space="preserve"> - </w:instrText>
      </w:r>
      <w:r w:rsidRPr="00A110D9">
        <w:rPr>
          <w:i/>
        </w:rPr>
        <w:instrText>Rapporteure</w:instrText>
      </w:r>
      <w:r w:rsidRPr="00A110D9">
        <w:rPr>
          <w:i/>
        </w:rPr>
        <w:instrText xml:space="preserve">: Romana </w:instrText>
      </w:r>
      <w:r w:rsidRPr="00A110D9">
        <w:rPr>
          <w:i/>
        </w:rPr>
        <w:instrText>Jerković</w:instrText>
      </w:r>
      <w:r w:rsidRPr="00A110D9">
        <w:rPr>
          <w:i/>
        </w:rPr>
        <w:instrText xml:space="preserve">)"\l3 \n&gt; \* MERGEFORMAT </w:instrText>
      </w:r>
      <w:r>
        <w:rPr>
          <w:i/>
        </w:rPr>
        <w:fldChar w:fldCharType="end"/>
      </w:r>
    </w:p>
    <w:p w:rsidR="00061DB8" w:rsidRPr="00A110D9" w:rsidP="00061DB8" w14:paraId="04E4477B" w14:textId="77777777">
      <w:pPr>
        <w:rPr>
          <w:vanish/>
        </w:rPr>
      </w:pPr>
      <w:bookmarkStart w:id="3" w:name="Commission"/>
      <w:r w:rsidRPr="00A110D9">
        <w:rPr>
          <w:vanish/>
        </w:rPr>
        <w:t>Commission de la santé publique</w:t>
      </w:r>
      <w:bookmarkEnd w:id="3"/>
    </w:p>
    <w:p w:rsidR="00061DB8" w:rsidRPr="00A110D9" w:rsidP="00061DB8" w14:paraId="4496E1C5" w14:textId="77777777">
      <w:pPr>
        <w:rPr>
          <w:vanish/>
        </w:rPr>
      </w:pPr>
      <w:bookmarkStart w:id="4" w:name="PE"/>
      <w:r w:rsidRPr="00A110D9">
        <w:rPr>
          <w:vanish/>
        </w:rPr>
        <w:t>PE782.349</w:t>
      </w:r>
      <w:bookmarkEnd w:id="4"/>
    </w:p>
    <w:p w:rsidR="00061DB8" w:rsidRPr="00A110D9" w:rsidP="00061DB8" w14:paraId="6B602339" w14:textId="662DB34B">
      <w:pPr>
        <w:pStyle w:val="ATHeading3"/>
      </w:pPr>
      <w:bookmarkStart w:id="5" w:name="Sujet"/>
      <w:r w:rsidRPr="00A110D9">
        <w:t xml:space="preserve">Résolution du Parlement européen du </w:t>
      </w:r>
      <w:r w:rsidR="00C75121">
        <w:t>16 septembre</w:t>
      </w:r>
      <w:r w:rsidRPr="00A110D9">
        <w:t xml:space="preserve"> 2026 sur une stratégie de l’Union européenne en matière de maladies cardiovasculaires</w:t>
      </w:r>
      <w:bookmarkEnd w:id="5"/>
      <w:r w:rsidRPr="00A110D9">
        <w:t xml:space="preserve"> </w:t>
      </w:r>
      <w:bookmarkStart w:id="6" w:name="References"/>
      <w:r w:rsidRPr="00A110D9">
        <w:t>(2025/2132(INI))</w:t>
      </w:r>
      <w:bookmarkEnd w:id="6"/>
    </w:p>
    <w:p w:rsidR="009D2B59" w:rsidRPr="00A110D9" w:rsidP="005764ED" w14:paraId="16B91FD7" w14:textId="77777777">
      <w:pPr>
        <w:pStyle w:val="EPComma"/>
      </w:pPr>
      <w:r w:rsidRPr="00A110D9">
        <w:rPr>
          <w:i/>
        </w:rPr>
        <w:t>Le Parlement européen</w:t>
      </w:r>
      <w:r w:rsidRPr="00A110D9">
        <w:t>,</w:t>
      </w:r>
    </w:p>
    <w:p w:rsidR="009D2B59" w:rsidRPr="00A110D9" w:rsidP="005764ED" w14:paraId="57072B0F" w14:textId="77777777">
      <w:pPr>
        <w:pStyle w:val="NormalHanging12a"/>
      </w:pPr>
      <w:r w:rsidRPr="00A110D9">
        <w:t>–</w:t>
      </w:r>
      <w:r w:rsidRPr="00A110D9">
        <w:tab/>
        <w:t xml:space="preserve">vu les articles 7, 9, 168 et 191 du traité sur le fonctionnement de l’Union européenne, </w:t>
      </w:r>
    </w:p>
    <w:p w:rsidR="009D2B59" w:rsidRPr="00A110D9" w:rsidP="005764ED" w14:paraId="490BC1E1" w14:textId="77777777">
      <w:pPr>
        <w:pStyle w:val="NormalHanging12a"/>
      </w:pPr>
      <w:r w:rsidRPr="00A110D9">
        <w:t>–</w:t>
      </w:r>
      <w:r w:rsidRPr="00A110D9">
        <w:tab/>
        <w:t>vu les articles 3 et 35 de la charte des droits fondamentaux de l’Union européenne,</w:t>
      </w:r>
    </w:p>
    <w:p w:rsidR="009D2B59" w:rsidRPr="00A110D9" w:rsidP="005764ED" w14:paraId="6319B000" w14:textId="77777777">
      <w:pPr>
        <w:pStyle w:val="NormalHanging12a"/>
      </w:pPr>
      <w:r w:rsidRPr="00A110D9">
        <w:t>–</w:t>
      </w:r>
      <w:r w:rsidRPr="00A110D9">
        <w:tab/>
        <w:t>vu le socle européen des droits sociaux,</w:t>
      </w:r>
    </w:p>
    <w:p w:rsidR="009D2B59" w:rsidRPr="00A110D9" w:rsidP="005764ED" w14:paraId="6B81D2FA" w14:textId="77777777">
      <w:pPr>
        <w:pStyle w:val="NormalHanging12a"/>
      </w:pPr>
      <w:r w:rsidRPr="00A110D9">
        <w:t>–</w:t>
      </w:r>
      <w:r w:rsidRPr="00A110D9">
        <w:tab/>
        <w:t>vu le Programme de développement durable à l’horizon 2030 des Nations unies (Programme 2030) et les objectifs de développement durable (ODD), en particulier l’ODD 3.4 visant à réduire d’un tiers, par la prévention et le traitement, le taux de mortalité prématurée due à des maladies non transmissibles d’ici à 2030,</w:t>
      </w:r>
    </w:p>
    <w:p w:rsidR="009D2B59" w:rsidRPr="00A110D9" w:rsidP="005764ED" w14:paraId="6E87BEFF" w14:textId="77777777">
      <w:pPr>
        <w:pStyle w:val="NormalHanging12a"/>
      </w:pPr>
      <w:r w:rsidRPr="00A110D9">
        <w:t>–</w:t>
      </w:r>
      <w:r w:rsidRPr="00A110D9">
        <w:tab/>
        <w:t>vu le cadre de l’Organisation mondiale de la santé (OMS) du 18 mai 2023 intitulé</w:t>
      </w:r>
      <w:r w:rsidRPr="00A110D9">
        <w:t xml:space="preserve"> «cadre</w:t>
      </w:r>
      <w:r w:rsidRPr="00A110D9">
        <w:t xml:space="preserve"> de prestation de services de santé pour la prévention et la gestion de l’obésité» et le «plan d’accélération pour mettre fin à l’obésité» de l’OMS du 3 juillet 2023, </w:t>
      </w:r>
    </w:p>
    <w:p w:rsidR="009D2B59" w:rsidRPr="00A110D9" w:rsidP="005764ED" w14:paraId="68B73857" w14:textId="77777777">
      <w:pPr>
        <w:pStyle w:val="NormalHanging12a"/>
      </w:pPr>
      <w:r w:rsidRPr="00A110D9">
        <w:t>–</w:t>
      </w:r>
      <w:r w:rsidRPr="00A110D9">
        <w:tab/>
        <w:t xml:space="preserve">vu la communication de la Commission du 16 décembre 2025 sur un plan de l’Union européenne pour la santé </w:t>
      </w:r>
      <w:r w:rsidRPr="00A110D9">
        <w:t>cardiovasculaire:</w:t>
      </w:r>
      <w:r w:rsidRPr="00A110D9">
        <w:t xml:space="preserve"> le plan pour un cœur en bonne santé (COM(2025)1024),</w:t>
      </w:r>
    </w:p>
    <w:p w:rsidR="009D2B59" w:rsidRPr="00A110D9" w:rsidP="005764ED" w14:paraId="57F95D9C" w14:textId="77777777">
      <w:pPr>
        <w:pStyle w:val="NormalHanging12a"/>
      </w:pPr>
      <w:r w:rsidRPr="00A110D9">
        <w:t>–</w:t>
      </w:r>
      <w:r w:rsidRPr="00A110D9">
        <w:tab/>
        <w:t>vu la communication de la Commission du 3 février 2021 intitulée</w:t>
      </w:r>
      <w:r w:rsidRPr="00A110D9">
        <w:t xml:space="preserve"> «Plan</w:t>
      </w:r>
      <w:r w:rsidRPr="00A110D9">
        <w:t xml:space="preserve"> européen pour vaincre le cancer» (COM(2021)0044),</w:t>
      </w:r>
    </w:p>
    <w:p w:rsidR="009D2B59" w:rsidRPr="00A110D9" w:rsidP="005764ED" w14:paraId="14891B1E" w14:textId="77777777">
      <w:pPr>
        <w:pStyle w:val="NormalHanging12a"/>
      </w:pPr>
      <w:r w:rsidRPr="00A110D9">
        <w:t>–</w:t>
      </w:r>
      <w:r w:rsidRPr="00A110D9">
        <w:tab/>
        <w:t>vu sa résolution du 16 février 2022 sur le renforcement de l’Europe dans la lutte contre le cancer – vers une stratégie globale et coordonnée</w:t>
      </w:r>
      <w:r>
        <w:rPr>
          <w:rStyle w:val="FootnoteReference"/>
        </w:rPr>
        <w:footnoteReference w:id="2"/>
      </w:r>
      <w:r w:rsidRPr="00A110D9">
        <w:t>,</w:t>
      </w:r>
    </w:p>
    <w:p w:rsidR="009D2B59" w:rsidRPr="00A110D9" w:rsidP="005764ED" w14:paraId="6AE20186" w14:textId="77777777">
      <w:pPr>
        <w:pStyle w:val="NormalHanging12a"/>
      </w:pPr>
      <w:r w:rsidRPr="00A110D9">
        <w:t>–</w:t>
      </w:r>
      <w:r w:rsidRPr="00A110D9">
        <w:tab/>
        <w:t>vu l’initiative de la Commission intitulée</w:t>
      </w:r>
      <w:r w:rsidRPr="00A110D9">
        <w:t xml:space="preserve"> «</w:t>
      </w:r>
      <w:r w:rsidRPr="00A110D9">
        <w:t>Healthier</w:t>
      </w:r>
      <w:r w:rsidRPr="00A110D9">
        <w:t xml:space="preserve"> </w:t>
      </w:r>
      <w:r w:rsidRPr="00A110D9">
        <w:t>Together</w:t>
      </w:r>
      <w:r w:rsidRPr="00A110D9">
        <w:t xml:space="preserve"> – EU non-communicable </w:t>
      </w:r>
      <w:r w:rsidRPr="00A110D9">
        <w:t>diseases</w:t>
      </w:r>
      <w:r w:rsidRPr="00A110D9">
        <w:t xml:space="preserve"> (NCD) initiative» (Vivre ensemble en bonne santé – initiative de l’UE sur les </w:t>
      </w:r>
      <w:r w:rsidRPr="00A110D9">
        <w:t>maladies non transmissibles [MNT]),</w:t>
      </w:r>
    </w:p>
    <w:p w:rsidR="009D2B59" w:rsidRPr="00A110D9" w:rsidP="005764ED" w14:paraId="7B615149" w14:textId="77777777">
      <w:pPr>
        <w:pStyle w:val="NormalHanging12a"/>
      </w:pPr>
      <w:r w:rsidRPr="00A110D9">
        <w:t>–</w:t>
      </w:r>
      <w:r w:rsidRPr="00A110D9">
        <w:tab/>
        <w:t>vu la stratégie de l’Union européenne en matière de santé mondiale,</w:t>
      </w:r>
    </w:p>
    <w:p w:rsidR="009D2B59" w:rsidRPr="00A110D9" w:rsidP="005764ED" w14:paraId="5F785507" w14:textId="77777777">
      <w:pPr>
        <w:pStyle w:val="NormalHanging12a"/>
      </w:pPr>
      <w:r w:rsidRPr="00A110D9">
        <w:t>–</w:t>
      </w:r>
      <w:r w:rsidRPr="00A110D9">
        <w:tab/>
        <w:t>vu le règlement (UE) 2025/327 du Parlement européen et du Conseil du 11 février 2025 relatif à l’espace européen des données de santé et modifiant la directive 2011/24/UE et le règlement (UE) 2024/2847</w:t>
      </w:r>
      <w:r>
        <w:rPr>
          <w:rStyle w:val="FootnoteReference"/>
        </w:rPr>
        <w:footnoteReference w:id="3"/>
      </w:r>
      <w:r w:rsidRPr="00A110D9">
        <w:t>,</w:t>
      </w:r>
    </w:p>
    <w:p w:rsidR="009D2B59" w:rsidRPr="00A110D9" w:rsidP="005764ED" w14:paraId="2662E2F5" w14:textId="77777777">
      <w:pPr>
        <w:pStyle w:val="NormalHanging12a"/>
      </w:pPr>
      <w:r w:rsidRPr="00A110D9">
        <w:t>–</w:t>
      </w:r>
      <w:r w:rsidRPr="00A110D9">
        <w:tab/>
        <w:t>vu la directive 2014/40/UE du Parlement européen et du Conseil du 3 avril 2014 relative au rapprochement des dispositions législatives, réglementaires et administratives des États membres en matière de fabrication, de présentation et de vente des produits du tabac et des produits connexes, et abrogeant la directive 2001/37/CE</w:t>
      </w:r>
      <w:r>
        <w:rPr>
          <w:rStyle w:val="FootnoteReference"/>
        </w:rPr>
        <w:footnoteReference w:id="4"/>
      </w:r>
      <w:r w:rsidRPr="00A110D9">
        <w:t xml:space="preserve"> (directive sur les produits du tabac),</w:t>
      </w:r>
    </w:p>
    <w:p w:rsidR="009D2B59" w:rsidRPr="00A110D9" w:rsidP="005764ED" w14:paraId="3AA99CAF" w14:textId="77777777">
      <w:pPr>
        <w:pStyle w:val="NormalHanging12a"/>
      </w:pPr>
      <w:r w:rsidRPr="00A110D9">
        <w:t>–</w:t>
      </w:r>
      <w:r w:rsidRPr="00A110D9">
        <w:tab/>
        <w:t>vu la directive 2011/64/UE du Conseil du 21 juin 2011 concernant la structure et les taux des accises applicables aux tabacs manufacturés</w:t>
      </w:r>
      <w:r>
        <w:rPr>
          <w:rStyle w:val="FootnoteReference"/>
        </w:rPr>
        <w:footnoteReference w:id="5"/>
      </w:r>
      <w:r w:rsidRPr="00A110D9">
        <w:t>,</w:t>
      </w:r>
    </w:p>
    <w:p w:rsidR="009D2B59" w:rsidRPr="00A110D9" w:rsidP="005764ED" w14:paraId="17ECAA96" w14:textId="77777777">
      <w:pPr>
        <w:pStyle w:val="NormalHanging12a"/>
      </w:pPr>
      <w:r w:rsidRPr="00A110D9">
        <w:t>–</w:t>
      </w:r>
      <w:r w:rsidRPr="00A110D9">
        <w:tab/>
        <w:t xml:space="preserve">vu la directive 2005/29/CE du Parlement européen et du Conseil du 11 mai 2005 relative aux pratiques commerciales déloyales des entreprises vis-à-vis des consommateurs dans le marché intérieur et modifiant la directive 84/450/CEE du Conseil et les directives 97/7/CE, 98/27/CE et 2002/65/CE du Parlement européen et du Conseil et le règlement (CE) nº 2006/2004 du Parlement européen et du Conseil </w:t>
      </w:r>
      <w:r w:rsidRPr="00A110D9">
        <w:t>(«directive</w:t>
      </w:r>
      <w:r w:rsidRPr="00A110D9">
        <w:t xml:space="preserve"> sur les pratiques commerciales déloyales»)</w:t>
      </w:r>
      <w:r>
        <w:rPr>
          <w:rStyle w:val="FootnoteReference"/>
        </w:rPr>
        <w:footnoteReference w:id="6"/>
      </w:r>
      <w:r w:rsidRPr="00A110D9">
        <w:t>,</w:t>
      </w:r>
    </w:p>
    <w:p w:rsidR="009D2B59" w:rsidRPr="00A110D9" w:rsidP="005764ED" w14:paraId="6D58FB21" w14:textId="77777777">
      <w:pPr>
        <w:pStyle w:val="NormalHanging12a"/>
      </w:pPr>
      <w:r w:rsidRPr="00A110D9">
        <w:t>–</w:t>
      </w:r>
      <w:r w:rsidRPr="00A110D9">
        <w:tab/>
        <w:t>vu le règlement (CE) n° 1924/2006 du Parlement européen et du Conseil du 20 décembre 2006 concernant les allégations nutritionnelles et de santé portant sur les denrées alimentaires</w:t>
      </w:r>
      <w:r>
        <w:rPr>
          <w:rStyle w:val="FootnoteReference"/>
        </w:rPr>
        <w:footnoteReference w:id="7"/>
      </w:r>
      <w:r w:rsidRPr="00A110D9">
        <w:t xml:space="preserve">, </w:t>
      </w:r>
    </w:p>
    <w:p w:rsidR="009D2B59" w:rsidRPr="00A110D9" w:rsidP="005764ED" w14:paraId="09A71B80" w14:textId="77777777">
      <w:pPr>
        <w:pStyle w:val="NormalHanging12a"/>
      </w:pPr>
      <w:r w:rsidRPr="00A110D9">
        <w:t>–</w:t>
      </w:r>
      <w:r w:rsidRPr="00A110D9">
        <w:tab/>
        <w:t>vu la directive 2008/50/CE</w:t>
      </w:r>
      <w:r w:rsidRPr="00A110D9">
        <w:rPr>
          <w:rFonts w:ascii="Roboto" w:hAnsi="Roboto"/>
          <w:b/>
          <w:color w:val="333333"/>
          <w:sz w:val="21"/>
          <w:shd w:val="clear" w:color="auto" w:fill="FFFFFF"/>
        </w:rPr>
        <w:t xml:space="preserve"> </w:t>
      </w:r>
      <w:r w:rsidRPr="00A110D9">
        <w:t>du Parlement européen et du Conseil du 21 mai 2008 concernant la qualité de l’air ambiant et un air pur pour l’Europe</w:t>
      </w:r>
      <w:r>
        <w:rPr>
          <w:rStyle w:val="FootnoteReference"/>
        </w:rPr>
        <w:footnoteReference w:id="8"/>
      </w:r>
      <w:r w:rsidRPr="00A110D9">
        <w:t>,</w:t>
      </w:r>
    </w:p>
    <w:p w:rsidR="009D2B59" w:rsidRPr="00A110D9" w:rsidP="005764ED" w14:paraId="6AD6B060" w14:textId="77777777">
      <w:pPr>
        <w:pStyle w:val="NormalHanging12a"/>
      </w:pPr>
      <w:r w:rsidRPr="00A110D9">
        <w:t>–</w:t>
      </w:r>
      <w:r w:rsidRPr="00A110D9">
        <w:tab/>
        <w:t>vu la directive 2002/49/CE</w:t>
      </w:r>
      <w:r w:rsidRPr="00A110D9">
        <w:rPr>
          <w:rFonts w:ascii="Roboto" w:hAnsi="Roboto"/>
          <w:b/>
          <w:color w:val="333333"/>
          <w:sz w:val="21"/>
          <w:shd w:val="clear" w:color="auto" w:fill="FFFFFF"/>
        </w:rPr>
        <w:t xml:space="preserve"> </w:t>
      </w:r>
      <w:r w:rsidRPr="00A110D9">
        <w:t>du Parlement européen et du Conseil du 25 juin 2002 relative à l’évaluation et à la gestion du bruit dans l’environnement</w:t>
      </w:r>
      <w:r>
        <w:rPr>
          <w:rStyle w:val="FootnoteReference"/>
        </w:rPr>
        <w:footnoteReference w:id="9"/>
      </w:r>
      <w:r w:rsidRPr="00A110D9">
        <w:t>,</w:t>
      </w:r>
    </w:p>
    <w:p w:rsidR="009D2B59" w:rsidRPr="00A110D9" w:rsidP="005764ED" w14:paraId="49393987" w14:textId="77777777">
      <w:pPr>
        <w:pStyle w:val="NormalHanging12a"/>
      </w:pPr>
      <w:r w:rsidRPr="00A110D9">
        <w:t>–</w:t>
      </w:r>
      <w:r w:rsidRPr="00A110D9">
        <w:tab/>
        <w:t>vu la directive 2011/24/UE du Parlement européen et du Conseil du 9 mars 2011 relative à l’application des droits des patients en matière de soins de santé transfrontaliers</w:t>
      </w:r>
      <w:r>
        <w:rPr>
          <w:rStyle w:val="FootnoteReference"/>
        </w:rPr>
        <w:footnoteReference w:id="10"/>
      </w:r>
      <w:r w:rsidRPr="00A110D9">
        <w:t xml:space="preserve"> (ci</w:t>
      </w:r>
      <w:r w:rsidRPr="00A110D9">
        <w:noBreakHyphen/>
        <w:t>après la</w:t>
      </w:r>
      <w:r w:rsidRPr="00A110D9">
        <w:t xml:space="preserve"> «directive</w:t>
      </w:r>
      <w:r w:rsidRPr="00A110D9">
        <w:t xml:space="preserve"> relative aux soins de santé transfrontaliers»), </w:t>
      </w:r>
    </w:p>
    <w:p w:rsidR="009D2B59" w:rsidRPr="00A110D9" w:rsidP="005764ED" w14:paraId="3360C430" w14:textId="77777777">
      <w:pPr>
        <w:pStyle w:val="NormalHanging12a"/>
      </w:pPr>
      <w:r w:rsidRPr="00A110D9">
        <w:t>–</w:t>
      </w:r>
      <w:r w:rsidRPr="00A110D9">
        <w:tab/>
        <w:t>vu le rapport de Mario Draghi du 9 septembre 2024 intitulé</w:t>
      </w:r>
      <w:r w:rsidRPr="00A110D9">
        <w:t xml:space="preserve"> «L’avenir</w:t>
      </w:r>
      <w:r w:rsidRPr="00A110D9">
        <w:t xml:space="preserve"> de la compétitivité européenne» (ci-après dénommé «rapport Draghi»),</w:t>
      </w:r>
    </w:p>
    <w:p w:rsidR="009D2B59" w:rsidRPr="00A110D9" w:rsidP="005764ED" w14:paraId="22533E9B" w14:textId="77777777">
      <w:pPr>
        <w:pStyle w:val="NormalHanging12a"/>
      </w:pPr>
      <w:r w:rsidRPr="00A110D9">
        <w:t>–</w:t>
      </w:r>
      <w:r w:rsidRPr="00A110D9">
        <w:tab/>
        <w:t>vu la communication de la Commission du 29 janvier 2025 intitulée</w:t>
      </w:r>
      <w:r w:rsidRPr="00A110D9">
        <w:t xml:space="preserve"> «Une</w:t>
      </w:r>
      <w:r w:rsidRPr="00A110D9">
        <w:t xml:space="preserve"> boussole </w:t>
      </w:r>
      <w:r w:rsidRPr="00A110D9">
        <w:t xml:space="preserve">pour la compétitivité de l’UE» (COM(2025)0030), </w:t>
      </w:r>
    </w:p>
    <w:p w:rsidR="009D2B59" w:rsidRPr="00A110D9" w:rsidP="005764ED" w14:paraId="6E9579A0" w14:textId="77777777">
      <w:pPr>
        <w:pStyle w:val="NormalHanging12a"/>
      </w:pPr>
      <w:r w:rsidRPr="00A110D9">
        <w:t>–</w:t>
      </w:r>
      <w:r w:rsidRPr="00A110D9">
        <w:tab/>
        <w:t>vu le rapport de la Commission du 29 janvier 2026 intitulé</w:t>
      </w:r>
      <w:r w:rsidRPr="00A110D9">
        <w:t xml:space="preserve"> «Examen</w:t>
      </w:r>
      <w:r w:rsidRPr="00A110D9">
        <w:t xml:space="preserve"> à mi-parcours du plan d’action - Vers une pollution zéro dans l’air, l’eau et les sols» (COM(2026)0042), </w:t>
      </w:r>
    </w:p>
    <w:p w:rsidR="009D2B59" w:rsidRPr="00A110D9" w:rsidP="005764ED" w14:paraId="7767ED9A" w14:textId="77777777">
      <w:pPr>
        <w:pStyle w:val="NormalHanging12a"/>
      </w:pPr>
      <w:r w:rsidRPr="00A110D9">
        <w:t>–</w:t>
      </w:r>
      <w:r w:rsidRPr="00A110D9">
        <w:tab/>
        <w:t>vu la directive (UE) 2016/2284 du Parlement européen et du Conseil du 14 décembre 2016 concernant la réduction des émissions nationales de certains polluants atmosphériques, modifiant la directive 2003/35/CE et abrogeant la directive 2001/81/CE</w:t>
      </w:r>
      <w:r>
        <w:rPr>
          <w:rStyle w:val="FootnoteReference"/>
        </w:rPr>
        <w:footnoteReference w:id="11"/>
      </w:r>
      <w:r w:rsidRPr="00A110D9">
        <w:t>, et son évaluation publiée le 1</w:t>
      </w:r>
      <w:r w:rsidRPr="00A110D9">
        <w:rPr>
          <w:vertAlign w:val="superscript"/>
        </w:rPr>
        <w:t>er</w:t>
      </w:r>
      <w:r w:rsidRPr="00A110D9">
        <w:t xml:space="preserve"> décembre 2025, </w:t>
      </w:r>
    </w:p>
    <w:p w:rsidR="009D2B59" w:rsidRPr="00A110D9" w:rsidP="005764ED" w14:paraId="69131E29" w14:textId="77777777">
      <w:pPr>
        <w:pStyle w:val="NormalHanging12a"/>
      </w:pPr>
      <w:r w:rsidRPr="00A110D9">
        <w:t>–</w:t>
      </w:r>
      <w:r w:rsidRPr="00A110D9">
        <w:tab/>
        <w:t>vu le rapport de l’Agence européenne pour l’environnement (AEE) du 22 juin 2023 intitulé</w:t>
      </w:r>
      <w:r w:rsidRPr="00A110D9">
        <w:t xml:space="preserve"> «</w:t>
      </w:r>
      <w:r w:rsidRPr="00A110D9">
        <w:t>Beating</w:t>
      </w:r>
      <w:r w:rsidRPr="00A110D9">
        <w:t xml:space="preserve"> </w:t>
      </w:r>
      <w:r w:rsidRPr="00A110D9">
        <w:t>cardiovascular</w:t>
      </w:r>
      <w:r w:rsidRPr="00A110D9">
        <w:t xml:space="preserve"> </w:t>
      </w:r>
      <w:r w:rsidRPr="00A110D9">
        <w:t>diseases</w:t>
      </w:r>
      <w:r w:rsidRPr="00A110D9">
        <w:t xml:space="preserve"> – the </w:t>
      </w:r>
      <w:r w:rsidRPr="00A110D9">
        <w:t>role</w:t>
      </w:r>
      <w:r w:rsidRPr="00A110D9">
        <w:t xml:space="preserve"> of </w:t>
      </w:r>
      <w:r w:rsidRPr="00A110D9">
        <w:t>Europe’s</w:t>
      </w:r>
      <w:r w:rsidRPr="00A110D9">
        <w:t xml:space="preserve"> </w:t>
      </w:r>
      <w:r w:rsidRPr="00A110D9">
        <w:t>environment</w:t>
      </w:r>
      <w:r w:rsidRPr="00A110D9">
        <w:t>» (Lutter contre les maladies cardiovasculaires – le rôle de l’environnement en Europe) et son rapport du 3 novembre 2025 intitulé «</w:t>
      </w:r>
      <w:r w:rsidRPr="00A110D9">
        <w:t>Preventing</w:t>
      </w:r>
      <w:r w:rsidRPr="00A110D9">
        <w:t xml:space="preserve"> </w:t>
      </w:r>
      <w:r w:rsidRPr="00A110D9">
        <w:t>cardiovascular</w:t>
      </w:r>
      <w:r w:rsidRPr="00A110D9">
        <w:t xml:space="preserve"> </w:t>
      </w:r>
      <w:r w:rsidRPr="00A110D9">
        <w:t>diseases</w:t>
      </w:r>
      <w:r w:rsidRPr="00A110D9">
        <w:t xml:space="preserve"> </w:t>
      </w:r>
      <w:r w:rsidRPr="00A110D9">
        <w:t>through</w:t>
      </w:r>
      <w:r w:rsidRPr="00A110D9">
        <w:t xml:space="preserve"> a </w:t>
      </w:r>
      <w:r w:rsidRPr="00A110D9">
        <w:t>healthy</w:t>
      </w:r>
      <w:r w:rsidRPr="00A110D9">
        <w:t xml:space="preserve"> </w:t>
      </w:r>
      <w:r w:rsidRPr="00A110D9">
        <w:t>environment</w:t>
      </w:r>
      <w:r w:rsidRPr="00A110D9">
        <w:t xml:space="preserve">» (Prévenir les maladies cardiovasculaires grâce à un environnement sain), </w:t>
      </w:r>
    </w:p>
    <w:p w:rsidR="009D2B59" w:rsidRPr="00A110D9" w:rsidP="005764ED" w14:paraId="1D78F66B" w14:textId="77777777">
      <w:pPr>
        <w:pStyle w:val="NormalHanging12a"/>
      </w:pPr>
      <w:r w:rsidRPr="00A110D9">
        <w:t>–</w:t>
      </w:r>
      <w:r w:rsidRPr="00A110D9">
        <w:tab/>
        <w:t>vu la stratégie de l’Union européenne pour l’adaptation au changement climatique, publiée le 24 février 2021 (</w:t>
      </w:r>
      <w:r w:rsidRPr="00A110D9">
        <w:t>COM(</w:t>
      </w:r>
      <w:r w:rsidRPr="00A110D9">
        <w:t>2021)0082),</w:t>
      </w:r>
    </w:p>
    <w:p w:rsidR="009D2B59" w:rsidRPr="00A110D9" w:rsidP="005764ED" w14:paraId="44923373" w14:textId="77777777">
      <w:pPr>
        <w:pStyle w:val="NormalHanging12a"/>
      </w:pPr>
      <w:r w:rsidRPr="00A110D9">
        <w:t>–</w:t>
      </w:r>
      <w:r w:rsidRPr="00A110D9">
        <w:tab/>
        <w:t>vu le programme-cadre pour la recherche et l’innovation</w:t>
      </w:r>
      <w:r w:rsidRPr="00A110D9">
        <w:t xml:space="preserve"> «Horizon</w:t>
      </w:r>
      <w:r w:rsidRPr="00A110D9">
        <w:t xml:space="preserve"> Europe», le programme «L’UE pour la santé», le programme pour une Europe numérique et les fonds de la politique de cohésion,</w:t>
      </w:r>
    </w:p>
    <w:p w:rsidR="009D2B59" w:rsidRPr="00A110D9" w:rsidP="005764ED" w14:paraId="37CC8EAE" w14:textId="77777777">
      <w:pPr>
        <w:pStyle w:val="NormalHanging12a"/>
      </w:pPr>
      <w:r w:rsidRPr="00A110D9">
        <w:t>–</w:t>
      </w:r>
      <w:r w:rsidRPr="00A110D9">
        <w:tab/>
        <w:t>vu la communication de la Commission du 14 octobre 2020 sur la stratégie pour la durabilité dans le domaine des produits chimiques (</w:t>
      </w:r>
      <w:r w:rsidRPr="00A110D9">
        <w:t>COM(</w:t>
      </w:r>
      <w:r w:rsidRPr="00A110D9">
        <w:t xml:space="preserve">2020)0667), </w:t>
      </w:r>
    </w:p>
    <w:p w:rsidR="009D2B59" w:rsidRPr="00A110D9" w:rsidP="005764ED" w14:paraId="3D8A8320" w14:textId="77777777">
      <w:pPr>
        <w:pStyle w:val="NormalHanging12a"/>
      </w:pPr>
      <w:r w:rsidRPr="00A110D9">
        <w:t>–</w:t>
      </w:r>
      <w:r w:rsidRPr="00A110D9">
        <w:tab/>
        <w:t>vu le registre des inégalités face au cancer,</w:t>
      </w:r>
    </w:p>
    <w:p w:rsidR="009D2B59" w:rsidRPr="00A110D9" w:rsidP="005764ED" w14:paraId="05D53B45" w14:textId="77777777">
      <w:pPr>
        <w:pStyle w:val="NormalHanging12a"/>
      </w:pPr>
      <w:r w:rsidRPr="00A110D9">
        <w:t>–</w:t>
      </w:r>
      <w:r w:rsidRPr="00A110D9">
        <w:tab/>
        <w:t xml:space="preserve">vu le plan d’action mondial de l’OMS pour la prévention et le contrôle des maladies non transmissibles 2013-2030, le plan d’action pour la prévention et le contrôle des maladies non transmissibles dans la Région européenne de l’OMS 2016-2025 et le deuxième programme de travail européen de l’OMS 2026-2030 </w:t>
      </w:r>
      <w:r w:rsidRPr="00A110D9">
        <w:t>intitulé:</w:t>
      </w:r>
      <w:r w:rsidRPr="00A110D9">
        <w:t xml:space="preserve"> «Une unité d’action pour une meilleure santé», </w:t>
      </w:r>
    </w:p>
    <w:p w:rsidR="009D2B59" w:rsidRPr="00A110D9" w:rsidP="005764ED" w14:paraId="604F74F8" w14:textId="77777777">
      <w:pPr>
        <w:pStyle w:val="NormalHanging12a"/>
      </w:pPr>
      <w:r w:rsidRPr="00A110D9">
        <w:t>–</w:t>
      </w:r>
      <w:r w:rsidRPr="00A110D9">
        <w:tab/>
        <w:t>vu la déclaration politique issue de la quatrième réunion de haut niveau de l’Assemblée générale sur la prévention et la maîtrise des maladies non transmissibles et la promotion de la santé mentale et du bien-être, adoptée par l’Assemblée générale des Nations unies le 8 décembre 2025,</w:t>
      </w:r>
    </w:p>
    <w:p w:rsidR="009D2B59" w:rsidRPr="00A110D9" w:rsidP="005764ED" w14:paraId="6347430E" w14:textId="77777777">
      <w:pPr>
        <w:pStyle w:val="NormalHanging12a"/>
      </w:pPr>
      <w:r w:rsidRPr="00A110D9">
        <w:t>–</w:t>
      </w:r>
      <w:r w:rsidRPr="00A110D9">
        <w:tab/>
        <w:t xml:space="preserve">vu les meilleurs choix </w:t>
      </w:r>
      <w:r w:rsidRPr="00A110D9">
        <w:t>(«best</w:t>
      </w:r>
      <w:r w:rsidRPr="00A110D9">
        <w:t xml:space="preserve"> </w:t>
      </w:r>
      <w:r w:rsidRPr="00A110D9">
        <w:t>buys</w:t>
      </w:r>
      <w:r w:rsidRPr="00A110D9">
        <w:t xml:space="preserve">») et les choix rapides («quick </w:t>
      </w:r>
      <w:r w:rsidRPr="00A110D9">
        <w:t>buys</w:t>
      </w:r>
      <w:r w:rsidRPr="00A110D9">
        <w:t>») recommandés par l’OMS/Europe pour la prévention et la gestion des maladies non transmissibles, y compris les maladies cardiovasculaires,</w:t>
      </w:r>
    </w:p>
    <w:p w:rsidR="009D2B59" w:rsidRPr="00A110D9" w:rsidP="005764ED" w14:paraId="3FE45EAE" w14:textId="77777777">
      <w:pPr>
        <w:pStyle w:val="NormalHanging12a"/>
      </w:pPr>
      <w:r w:rsidRPr="00A110D9">
        <w:t>–</w:t>
      </w:r>
      <w:r w:rsidRPr="00A110D9">
        <w:tab/>
        <w:t>vu la communication de la Commission du 7 mars 2025 intitulée</w:t>
      </w:r>
      <w:r w:rsidRPr="00A110D9">
        <w:t xml:space="preserve"> «Une</w:t>
      </w:r>
      <w:r w:rsidRPr="00A110D9">
        <w:t xml:space="preserve"> feuille de route pour les droits des femmes» (COM(2025)0097),</w:t>
      </w:r>
    </w:p>
    <w:p w:rsidR="009D2B59" w:rsidRPr="00A110D9" w:rsidP="005764ED" w14:paraId="371116F2" w14:textId="77777777">
      <w:pPr>
        <w:pStyle w:val="NormalHanging12a"/>
      </w:pPr>
      <w:r w:rsidRPr="00A110D9">
        <w:t>–</w:t>
      </w:r>
      <w:r w:rsidRPr="00A110D9">
        <w:tab/>
        <w:t>vu le guide technique HEARTS de l’OMS,</w:t>
      </w:r>
    </w:p>
    <w:p w:rsidR="009D2B59" w:rsidRPr="00A110D9" w:rsidP="005764ED" w14:paraId="25AA24AC" w14:textId="77777777">
      <w:pPr>
        <w:pStyle w:val="NormalHanging12a"/>
      </w:pPr>
      <w:r w:rsidRPr="00A110D9">
        <w:t>–</w:t>
      </w:r>
      <w:r w:rsidRPr="00A110D9">
        <w:tab/>
        <w:t xml:space="preserve">vu la convention-cadre pour la lutte antitabac, adoptée par l’OMS, </w:t>
      </w:r>
    </w:p>
    <w:p w:rsidR="009D2B59" w:rsidRPr="00A110D9" w:rsidP="005764ED" w14:paraId="0B4D9D66" w14:textId="77777777">
      <w:pPr>
        <w:pStyle w:val="NormalHanging12a"/>
      </w:pPr>
      <w:r w:rsidRPr="00A110D9">
        <w:t>–</w:t>
      </w:r>
      <w:r w:rsidRPr="00A110D9">
        <w:tab/>
        <w:t>vu la</w:t>
      </w:r>
      <w:r w:rsidRPr="00A110D9">
        <w:t xml:space="preserve"> «Stratégie</w:t>
      </w:r>
      <w:r w:rsidRPr="00A110D9">
        <w:t xml:space="preserve"> sur l’activité physique pour la Région européenne de l’OMS 2016-2025», </w:t>
      </w:r>
    </w:p>
    <w:p w:rsidR="009D2B59" w:rsidRPr="00A110D9" w:rsidP="005764ED" w14:paraId="3B9C0D66" w14:textId="77777777">
      <w:pPr>
        <w:pStyle w:val="NormalHanging12a"/>
      </w:pPr>
      <w:r w:rsidRPr="00A110D9">
        <w:t>–</w:t>
      </w:r>
      <w:r w:rsidRPr="00A110D9">
        <w:tab/>
        <w:t>vu sa résolution du 16 février 2022 sur le renforcement de l’Europe dans la lutte contre le cancer – vers une stratégie globale et coordonnée</w:t>
      </w:r>
      <w:r>
        <w:rPr>
          <w:rStyle w:val="FootnoteReference"/>
        </w:rPr>
        <w:footnoteReference w:id="12"/>
      </w:r>
      <w:r w:rsidRPr="00A110D9">
        <w:t>,</w:t>
      </w:r>
    </w:p>
    <w:p w:rsidR="009D2B59" w:rsidRPr="00A110D9" w:rsidP="005764ED" w14:paraId="6CBAD67F" w14:textId="77777777">
      <w:pPr>
        <w:pStyle w:val="NormalHanging12a"/>
      </w:pPr>
      <w:r w:rsidRPr="00A110D9">
        <w:t>–</w:t>
      </w:r>
      <w:r w:rsidRPr="00A110D9">
        <w:tab/>
        <w:t>vu sa résolution du 13 décembre 2023 sur les maladies non transmissibles (MNT)</w:t>
      </w:r>
      <w:r>
        <w:rPr>
          <w:rStyle w:val="FootnoteReference"/>
        </w:rPr>
        <w:footnoteReference w:id="13"/>
      </w:r>
      <w:r w:rsidRPr="00A110D9">
        <w:t xml:space="preserve">, </w:t>
      </w:r>
    </w:p>
    <w:p w:rsidR="009D2B59" w:rsidRPr="00A110D9" w:rsidP="005764ED" w14:paraId="56C3BB2C" w14:textId="77777777">
      <w:pPr>
        <w:pStyle w:val="NormalHanging12a"/>
      </w:pPr>
      <w:r w:rsidRPr="00A110D9">
        <w:t>–</w:t>
      </w:r>
      <w:r w:rsidRPr="00A110D9">
        <w:tab/>
        <w:t xml:space="preserve">vu ses travaux en cours sur la crise due à la pénurie de personnel de santé dans l’Union, </w:t>
      </w:r>
    </w:p>
    <w:p w:rsidR="009D2B59" w:rsidRPr="00A110D9" w:rsidP="005764ED" w14:paraId="2DF07CB3" w14:textId="77777777">
      <w:pPr>
        <w:pStyle w:val="NormalHanging12a"/>
      </w:pPr>
      <w:r w:rsidRPr="00A110D9">
        <w:t>–</w:t>
      </w:r>
      <w:r w:rsidRPr="00A110D9">
        <w:tab/>
        <w:t>vu le rapport de l’Organisation de coopération et de développement économiques (OCDE) du 15 décembre 2025 intitulé</w:t>
      </w:r>
      <w:r w:rsidRPr="00A110D9">
        <w:t xml:space="preserve"> «The</w:t>
      </w:r>
      <w:r w:rsidRPr="00A110D9">
        <w:t xml:space="preserve"> state of </w:t>
      </w:r>
      <w:r w:rsidRPr="00A110D9">
        <w:t>cardiovascular</w:t>
      </w:r>
      <w:r w:rsidRPr="00A110D9">
        <w:t xml:space="preserve"> </w:t>
      </w:r>
      <w:r w:rsidRPr="00A110D9">
        <w:t>health</w:t>
      </w:r>
      <w:r w:rsidRPr="00A110D9">
        <w:t xml:space="preserve"> in the </w:t>
      </w:r>
      <w:r w:rsidRPr="00A110D9">
        <w:t>European</w:t>
      </w:r>
      <w:r w:rsidRPr="00A110D9">
        <w:t xml:space="preserve"> Union» (L’état de la santé cardiovasculaire dans l’Union européenne), </w:t>
      </w:r>
    </w:p>
    <w:p w:rsidR="009D2B59" w:rsidRPr="00A110D9" w:rsidP="005764ED" w14:paraId="7DECA036" w14:textId="77777777">
      <w:pPr>
        <w:pStyle w:val="NormalHanging12a"/>
      </w:pPr>
      <w:r w:rsidRPr="00A110D9">
        <w:t>–</w:t>
      </w:r>
      <w:r w:rsidRPr="00A110D9">
        <w:tab/>
        <w:t>vu l’avis du Comité économique et social européen du 18 septembre 2025 sur les déterminants commerciaux de la santé,</w:t>
      </w:r>
    </w:p>
    <w:p w:rsidR="009D2B59" w:rsidRPr="00A110D9" w:rsidP="005764ED" w14:paraId="79CB38DE" w14:textId="77777777">
      <w:pPr>
        <w:pStyle w:val="NormalHanging12a"/>
      </w:pPr>
      <w:r w:rsidRPr="00A110D9">
        <w:t>–</w:t>
      </w:r>
      <w:r w:rsidRPr="00A110D9">
        <w:tab/>
        <w:t>vu l’article 55 (et l’article 148, paragraphe 2) de son règlement intérieur,</w:t>
      </w:r>
    </w:p>
    <w:p w:rsidR="009D2B59" w:rsidRPr="00A110D9" w:rsidP="005764ED" w14:paraId="0451833B" w14:textId="77777777">
      <w:pPr>
        <w:pStyle w:val="NormalHanging12a"/>
      </w:pPr>
      <w:r w:rsidRPr="00A110D9">
        <w:t>–</w:t>
      </w:r>
      <w:r w:rsidRPr="00A110D9">
        <w:tab/>
        <w:t>vu le rapport de la commission de la santé publique (A10-0221/2026),</w:t>
      </w:r>
    </w:p>
    <w:p w:rsidR="009D2B59" w:rsidRPr="00A110D9" w:rsidP="005764ED" w14:paraId="4624152C" w14:textId="77777777">
      <w:pPr>
        <w:pStyle w:val="NormalHanging12a"/>
      </w:pPr>
      <w:r w:rsidRPr="00A110D9">
        <w:t>A.</w:t>
      </w:r>
      <w:r w:rsidRPr="00A110D9">
        <w:tab/>
        <w:t xml:space="preserve">considérant que les maladies cardiovasculaires (MCV) comprennent un large éventail de pathologies cardiaques et vasculaires, y compris celles qui touchent à la fois le cœur et le système </w:t>
      </w:r>
      <w:r w:rsidRPr="00A110D9">
        <w:t>circulatoire;</w:t>
      </w:r>
      <w:r w:rsidRPr="00A110D9">
        <w:t xml:space="preserve"> </w:t>
      </w:r>
    </w:p>
    <w:p w:rsidR="009D2B59" w:rsidRPr="00A110D9" w:rsidP="005764ED" w14:paraId="714D0F4D" w14:textId="77777777">
      <w:pPr>
        <w:pStyle w:val="NormalHanging12a"/>
      </w:pPr>
      <w:r w:rsidRPr="00A110D9">
        <w:t>B.</w:t>
      </w:r>
      <w:r w:rsidRPr="00A110D9">
        <w:tab/>
        <w:t>considérant que les maladies cardiovasculaires et les facteurs de risque qui y sont associés sont très répandus et ont une incidence significative sur la santé et la qualité de vie, ainsi que des conséquences économiques et sociales majeures; considérant que la santé cardiovasculaire constitue donc un défi majeur pour la santé publique et la société dans l’Union, étant donné que les maladies cardiovasculaires restent la principale cause de mortalité dans l’Union, représentant environ 1,7 million de décès chaque année; considérant que, dans l’Union, 62 millions de personnes souffrent de maladies cardiovasculaires et que près de 13 millions de nouveaux cas de maladies cardiovasculaires surviennent chaque année; que, selon les estimations, les risques environnementaux sont à l’origine de plus de 18 %</w:t>
      </w:r>
      <w:r>
        <w:rPr>
          <w:rStyle w:val="FootnoteReference"/>
        </w:rPr>
        <w:footnoteReference w:id="14"/>
      </w:r>
      <w:r w:rsidRPr="00A110D9">
        <w:t xml:space="preserve"> des décès liés aux maladies cardiovasculaires en Europe; que les maladies cardiovasculaires sont associées à une morbidité importante, à un handicap, à une qualité de vie et à une capacité de vie autonome réduites, à des pertes de productivité, à un risque accru de complications dues à des maladies infectieuses et à un coût économique estimé à 282 milliards d’euros par an; considérant que, selon les estimations, 80 % des maladies cardiovasculaires peuvent être évitées</w:t>
      </w:r>
      <w:r>
        <w:rPr>
          <w:rStyle w:val="FootnoteReference"/>
        </w:rPr>
        <w:footnoteReference w:id="15"/>
      </w:r>
      <w:r w:rsidRPr="00A110D9">
        <w:t>;</w:t>
      </w:r>
    </w:p>
    <w:p w:rsidR="009D2B59" w:rsidRPr="00A110D9" w:rsidP="005764ED" w14:paraId="3450E067" w14:textId="77777777">
      <w:pPr>
        <w:pStyle w:val="NormalHanging12a"/>
      </w:pPr>
      <w:r w:rsidRPr="00A110D9">
        <w:t>C.</w:t>
      </w:r>
      <w:r w:rsidRPr="00A110D9">
        <w:tab/>
        <w:t xml:space="preserve">considérant que les maladies cardiovasculaires sont un facteur majeur de mortalité prématurée et d’invalidité due à des maladies non transmissibles (MNT), et que la </w:t>
      </w:r>
      <w:r w:rsidRPr="00A110D9">
        <w:t xml:space="preserve">réduction de la mortalité cardiovasculaire est essentielle pour atteindre l’ODD 3.4 d’ici à </w:t>
      </w:r>
      <w:r w:rsidRPr="00A110D9">
        <w:t>2030;</w:t>
      </w:r>
      <w:r w:rsidRPr="00A110D9">
        <w:t xml:space="preserve"> </w:t>
      </w:r>
    </w:p>
    <w:p w:rsidR="009D2B59" w:rsidRPr="00A110D9" w:rsidP="005764ED" w14:paraId="1DBDAAC2" w14:textId="77777777">
      <w:pPr>
        <w:pStyle w:val="NormalHanging12a"/>
      </w:pPr>
      <w:r w:rsidRPr="00A110D9">
        <w:t>D.</w:t>
      </w:r>
      <w:r w:rsidRPr="00A110D9">
        <w:tab/>
        <w:t xml:space="preserve">considérant que les maladies cardiovasculaires ont une incidence profonde sur les sociétés et les économies dans l’ensemble de l’Union européenne, affectant les marchés du travail, les systèmes de protection sociale et la viabilité économique à long </w:t>
      </w:r>
      <w:r w:rsidRPr="00A110D9">
        <w:t>terme;</w:t>
      </w:r>
      <w:r w:rsidRPr="00A110D9">
        <w:t xml:space="preserve"> </w:t>
      </w:r>
    </w:p>
    <w:p w:rsidR="009D2B59" w:rsidRPr="00A110D9" w:rsidP="005764ED" w14:paraId="104C9811" w14:textId="77777777">
      <w:pPr>
        <w:pStyle w:val="NormalHanging12a"/>
      </w:pPr>
      <w:r w:rsidRPr="00A110D9">
        <w:t>E.</w:t>
      </w:r>
      <w:r w:rsidRPr="00A110D9">
        <w:tab/>
        <w:t>considérant que les maladies coronariennes représentent la plus grande part de la mortalité cardiovasculaire, suivies par les accidents vasculaires cérébraux; que l’insuffisance cardiaque, la fibrillation auriculaire, les maladies artérielles périphériques, les valvulopathies cardiaques, les cardiomyopathies, les maladies cardiaques rhumatismales, les maladies cardiaques hypertensives et les maladies aortiques contribuent de manière significative au handicap, aux hospitalisations évitables et à la mortalité prématurée dans l’ensemble de l’Union;</w:t>
      </w:r>
    </w:p>
    <w:p w:rsidR="009D2B59" w:rsidRPr="00A110D9" w:rsidP="005764ED" w14:paraId="65727181" w14:textId="77777777">
      <w:pPr>
        <w:pStyle w:val="NormalHanging12a"/>
      </w:pPr>
      <w:r w:rsidRPr="00A110D9">
        <w:t>F.</w:t>
      </w:r>
      <w:r w:rsidRPr="00A110D9">
        <w:tab/>
        <w:t xml:space="preserve">considérant que seul un nombre limité d’États membres ont atteint l’objectif mondial d’une réduction de 25 % de la prévalence de l’hypertension artérielle d’ici 2025, ce qui témoigne de progrès insuffisants dans la prévention et la gestion de l’un des facteurs de risque cardiovasculaire les plus importants et les plus modifiables; que l’hypertension touche environ 22 % de la population de l’Union européenne âgée de 15 ans et plus et représente l’un des facteurs de risque les plus courants de maladies cardiovasculaires; qu’un dépistage inadéquat et une mauvaise gestion de l’hypertension artérielle continuent d’être une cause de maladies évitables et de décès prématurés dus à des causes cardiovasculaires dans l’ensemble de l’Union; </w:t>
      </w:r>
    </w:p>
    <w:p w:rsidR="009D2B59" w:rsidRPr="00A110D9" w:rsidP="005764ED" w14:paraId="72795DF1" w14:textId="77777777">
      <w:pPr>
        <w:pStyle w:val="NormalHanging12a"/>
      </w:pPr>
      <w:r w:rsidRPr="00A110D9">
        <w:t>G.</w:t>
      </w:r>
      <w:r w:rsidRPr="00A110D9">
        <w:tab/>
        <w:t xml:space="preserve">considérant que les taux de mortalité standardisés dus à des maladies du système circulatoire continuent de présenter de fortes disparités régionales dans l’ensemble de l’Union, reflétant une fracture persistante entre l’est et l’ouest; que ces écarts témoignent d’une exposition inégale aux facteurs de risque et d’un accès inégal à une prévention, à un diagnostic et à des soins de qualité en temps utile d’une région à l’autre; que seuls 11 des 27 États membres disposent de plans cardiovasculaires nationaux; qu’il est nécessaire d’adopter une approche européenne commune pour harmoniser ces plans d’échange d’informations et que les États membres qui ne disposent pas de tels plans doivent adopter le plan pour un cœur en bonne santé; </w:t>
      </w:r>
    </w:p>
    <w:p w:rsidR="009D2B59" w:rsidRPr="00A110D9" w:rsidP="005764ED" w14:paraId="3515DEF6" w14:textId="77777777">
      <w:pPr>
        <w:pStyle w:val="NormalHanging12a"/>
      </w:pPr>
      <w:r w:rsidRPr="00A110D9">
        <w:t>H.</w:t>
      </w:r>
      <w:r w:rsidRPr="00A110D9">
        <w:tab/>
        <w:t xml:space="preserve">considérant que le vieillissement de la population, associé à la prévalence croissante des facteurs de risque cardiovasculaire, devrait encore alourdir la charge des maladies cardiovasculaires et des maladies chroniques connexes en l’absence de mesures intégrées et renforcées de prévention, de détection précoce et de réaction du système de soins de santé, tout en exerçant une pression supplémentaire sur le personnel de santé; que les maladies cardiovasculaires touchent tous les groupes d’âge et que l’exposition précoce à des facteurs de risque et la reconnaissance tardive chez les enfants, les adolescents et les jeunes adultes influencent les résultats tout au long de la vie; considérant qu’une approche de la santé cardiovasculaire tout au long de la vie est donc essentielle; </w:t>
      </w:r>
    </w:p>
    <w:p w:rsidR="009D2B59" w:rsidRPr="00A110D9" w:rsidP="005764ED" w14:paraId="23175950" w14:textId="77777777">
      <w:pPr>
        <w:pStyle w:val="NormalHanging12a"/>
      </w:pPr>
      <w:r w:rsidRPr="00A110D9">
        <w:t>I.</w:t>
      </w:r>
      <w:r w:rsidRPr="00A110D9">
        <w:tab/>
        <w:t xml:space="preserve">considérant que les maladies cardiovasculaires sont étroitement liées à d’autres maladies non transmissibles majeures, notamment le diabète, l’hypertension, le cancer, les maladies rénales chroniques, l’obésité et bien d’autres encore; qu’une part importante des maladies cardiovasculaires surviennent sous la forme de complications du diabète et de troubles connexes qui ne sont pas détectés, sont diagnostiqués à un </w:t>
      </w:r>
      <w:r w:rsidRPr="00A110D9">
        <w:t xml:space="preserve">stade avancé ou sont mal gérés; considérant qu’une fois que les maladies cardiovasculaires se développent, la gestion du diabète devient plus complexe et plus coûteuse; </w:t>
      </w:r>
    </w:p>
    <w:p w:rsidR="009D2B59" w:rsidRPr="00A110D9" w:rsidP="005764ED" w14:paraId="51CA12A6" w14:textId="77777777">
      <w:pPr>
        <w:pStyle w:val="NormalHanging12a"/>
      </w:pPr>
      <w:r w:rsidRPr="00A110D9">
        <w:t>J.</w:t>
      </w:r>
      <w:r w:rsidRPr="00A110D9">
        <w:tab/>
        <w:t xml:space="preserve">considérant que le diabète touche environ 34 millions de personnes dans l’ensemble de l’Union européenne et qu’environ un tiers des personnes atteintes de diabète développeront des maladies cardiovasculaires au cours de leur vie, ce qui fait du diabète un facteur majeur et évitable de morbidité et de mortalité cardiovasculaires en Europe; considérant que les personnes souffrant de diabète de type 1, une maladie auto-immune à vie, souvent diagnostiquée pendant l’enfance, sont confrontées à un risque considérablement accru de maladies cardiovasculaires tout au long de leur vie, malgré l’absence de causes comportementales modifiables; considérant que jusqu’à 40 % des enfants sont diagnostiqués à la suite d’une acidocétose diabétique, une pathologie potentiellement mortelle; </w:t>
      </w:r>
    </w:p>
    <w:p w:rsidR="009D2B59" w:rsidRPr="00A110D9" w:rsidP="005764ED" w14:paraId="503A5A2C" w14:textId="77777777">
      <w:pPr>
        <w:pStyle w:val="NormalHanging12a"/>
      </w:pPr>
      <w:r w:rsidRPr="00A110D9">
        <w:t>K.</w:t>
      </w:r>
      <w:r w:rsidRPr="00A110D9">
        <w:tab/>
        <w:t xml:space="preserve">considérant que le surpoids et l’obésité infantiles restent une préoccupation majeure en </w:t>
      </w:r>
      <w:r w:rsidRPr="00A110D9">
        <w:t>Europe;</w:t>
      </w:r>
      <w:r w:rsidRPr="00A110D9">
        <w:t xml:space="preserve"> qu’un enfant sur dix âgé de 5 à 19 ans souffre d’obésité et que 25 % souffrent de surpoids</w:t>
      </w:r>
      <w:r>
        <w:rPr>
          <w:rStyle w:val="FootnoteReference"/>
        </w:rPr>
        <w:footnoteReference w:id="16"/>
      </w:r>
      <w:r w:rsidRPr="00A110D9">
        <w:t>;</w:t>
      </w:r>
    </w:p>
    <w:p w:rsidR="009D2B59" w:rsidRPr="00A110D9" w:rsidP="005764ED" w14:paraId="69A22B17" w14:textId="77777777">
      <w:pPr>
        <w:pStyle w:val="NormalHanging12a"/>
      </w:pPr>
      <w:r w:rsidRPr="00A110D9">
        <w:t>L.</w:t>
      </w:r>
      <w:r w:rsidRPr="00A110D9">
        <w:tab/>
        <w:t>considérant que l’obésité est responsable de près d’un quart des coûts de traitement des maladies cardiovasculaires et entraîne d’importantes pertes sociétales en termes de diminution de la participation et de la productivité de la main-d’œuvre et d’augmentation de la dépendance à l’égard des services sociaux et de santé</w:t>
      </w:r>
      <w:r>
        <w:rPr>
          <w:rStyle w:val="FootnoteReference"/>
        </w:rPr>
        <w:footnoteReference w:id="17"/>
      </w:r>
      <w:r w:rsidRPr="00A110D9">
        <w:t xml:space="preserve">; </w:t>
      </w:r>
    </w:p>
    <w:p w:rsidR="009D2B59" w:rsidRPr="00A110D9" w:rsidP="005764ED" w14:paraId="0D5BFAC8" w14:textId="77777777">
      <w:pPr>
        <w:pStyle w:val="NormalHanging12a"/>
      </w:pPr>
      <w:r w:rsidRPr="00A110D9">
        <w:t>M.</w:t>
      </w:r>
      <w:r w:rsidRPr="00A110D9">
        <w:tab/>
        <w:t>considérant que les maladies et les symptômes liés à la santé mentale, tels que la dépression, l’anxiété, la colère et l’hostilité, ainsi que le stress aigu ou chronique, sont des facteurs qui augmentent le risque de maladie cardiovasculaire</w:t>
      </w:r>
      <w:r>
        <w:rPr>
          <w:rStyle w:val="FootnoteReference"/>
        </w:rPr>
        <w:footnoteReference w:id="18"/>
      </w:r>
      <w:r w:rsidRPr="00A110D9">
        <w:t>; que les recommandations actuelles préconisent un dépistage standardisé de la dépression et la mise en œuvre d’un plan thérapeutique approprié chez les patients souffrant de troubles cardiaques; qu’un manque de bien-être psychosocial dans la population constitue également un facteur de risque cardiovasculaire, car il est associé à une moins bonne santé cardiovasculaire et à des résultats cliniques plus défavorables en matière de maladies cardiovasculaires; que les facteurs psychosociaux sont étroitement liés au risque cardiovasculaire global et influencent souvent des comportements tels que le tabagisme et le niveau d’activité physique</w:t>
      </w:r>
      <w:r>
        <w:rPr>
          <w:rStyle w:val="FootnoteReference"/>
        </w:rPr>
        <w:footnoteReference w:id="19"/>
      </w:r>
      <w:r w:rsidRPr="00A110D9">
        <w:t>;</w:t>
      </w:r>
    </w:p>
    <w:p w:rsidR="009D2B59" w:rsidRPr="00A110D9" w:rsidP="005764ED" w14:paraId="1CB093F0" w14:textId="77777777">
      <w:pPr>
        <w:pStyle w:val="NormalHanging12a"/>
        <w:spacing w:after="0"/>
      </w:pPr>
      <w:r w:rsidRPr="00A110D9">
        <w:t>N.</w:t>
      </w:r>
      <w:r w:rsidRPr="00A110D9">
        <w:tab/>
        <w:t xml:space="preserve">considérant que la stéatose hépatique associée à un dysfonctionnement métabolique reste un facteur insuffisamment reconnu de maladies cardiovasculaires, touchant plus de 25 % des adultes  </w:t>
      </w:r>
    </w:p>
    <w:p w:rsidR="009D2B59" w:rsidRPr="00A110D9" w:rsidP="005764ED" w14:paraId="3D282A64" w14:textId="77777777">
      <w:pPr>
        <w:pStyle w:val="NormalHanging12a"/>
        <w:spacing w:after="0"/>
        <w:ind w:firstLine="0"/>
      </w:pPr>
      <w:r w:rsidRPr="00A110D9">
        <w:t>dans</w:t>
      </w:r>
      <w:r w:rsidRPr="00A110D9">
        <w:t xml:space="preserve"> l’Union européenne; </w:t>
      </w:r>
    </w:p>
    <w:p w:rsidR="009D2B59" w:rsidRPr="00A110D9" w:rsidP="005764ED" w14:paraId="48EF0DC0" w14:textId="77777777">
      <w:pPr>
        <w:pStyle w:val="NormalHanging12a"/>
        <w:spacing w:after="0"/>
        <w:ind w:firstLine="0"/>
      </w:pPr>
    </w:p>
    <w:p w:rsidR="009D2B59" w:rsidRPr="00A110D9" w:rsidP="005764ED" w14:paraId="15EF6D46" w14:textId="77777777">
      <w:pPr>
        <w:pStyle w:val="NormalHanging12a"/>
      </w:pPr>
      <w:r w:rsidRPr="00A110D9">
        <w:t>O.</w:t>
      </w:r>
      <w:r w:rsidRPr="00A110D9">
        <w:tab/>
        <w:t xml:space="preserve">considérant qu’il existe des inégalités persistantes et croissantes en matière de santé </w:t>
      </w:r>
      <w:r w:rsidRPr="00A110D9">
        <w:t>cardiovasculaire entre les États membres et au sein de ces derniers, entre les femmes et les hommes, entre les zones urbaines et rurales, et parmi les populations vulnérables, notamment les migrants, les personnes âgées, les personnes handicapées, les personnes atteintes de maladies rares et de multimorbidités, les chômeurs et les populations socio-économiquement défavorisées; que les risques environnementaux et professionnels pour la santé sont inégalement répartis dans la société</w:t>
      </w:r>
      <w:r>
        <w:rPr>
          <w:rStyle w:val="FootnoteReference"/>
        </w:rPr>
        <w:footnoteReference w:id="20"/>
      </w:r>
      <w:r w:rsidRPr="00A110D9">
        <w:t xml:space="preserve">; </w:t>
      </w:r>
    </w:p>
    <w:p w:rsidR="009D2B59" w:rsidRPr="00A110D9" w:rsidP="005764ED" w14:paraId="1D3FC6D6" w14:textId="77777777">
      <w:pPr>
        <w:pStyle w:val="NormalHanging12a"/>
      </w:pPr>
      <w:r w:rsidRPr="00A110D9">
        <w:t>P.</w:t>
      </w:r>
      <w:r w:rsidRPr="00A110D9">
        <w:tab/>
        <w:t xml:space="preserve">considérant que les maladies cardiovasculaires touchent de plus en plus et de manière disproportionnée certaines populations migrantes, sous l’effet de facteurs sociaux, environnementaux et comportementaux aggravés par plusieurs facteurs, dont le manque de connaissances en matière de santé et l’accès limité aux soins de santé, en raison, notamment, des barrières linguistiques, du manque d’informations sur les services disponibles et des différences culturelles; considérant qu’il existe une sous-représentation persistante des populations vulnérables, y compris des migrants, dans les essais cliniques; </w:t>
      </w:r>
    </w:p>
    <w:p w:rsidR="009D2B59" w:rsidRPr="00A110D9" w:rsidP="005764ED" w14:paraId="32BBC042" w14:textId="77777777">
      <w:pPr>
        <w:pStyle w:val="NormalHanging12a"/>
      </w:pPr>
      <w:r w:rsidRPr="00A110D9">
        <w:t>Q.</w:t>
      </w:r>
      <w:r w:rsidRPr="00A110D9">
        <w:tab/>
        <w:t xml:space="preserve">considérant que les enfants et les adolescents sont systématiquement diagnostiqués trop tard pour le diabète de type 1 et l’hypercholestérolémie familiale, ce qui entraîne de graves complications, des retards dans les soins et de moins bons résultats à long terme en matière de santé; que le diabète de type 1 touche environ 1 personne sur 200, mais que 40 % des enfants atteints de diabète de type 1 sont diagnostiqués atteints d’acidocétose diabétique, une pathologie potentiellement mortelle; que l’hypercholestérolémie familiale touche environ 1 personne sur 250, mais que moins de 10 % des cas sont détectés et que le diagnostic est souvent retardé jusqu’à ce qu’un événement cardiovasculaire se produise; </w:t>
      </w:r>
    </w:p>
    <w:p w:rsidR="009D2B59" w:rsidRPr="00A110D9" w:rsidP="005764ED" w14:paraId="67CB6683" w14:textId="77777777">
      <w:pPr>
        <w:pStyle w:val="NormalHanging12a"/>
      </w:pPr>
      <w:r w:rsidRPr="00A110D9">
        <w:t>R.</w:t>
      </w:r>
      <w:r w:rsidRPr="00A110D9">
        <w:tab/>
        <w:t xml:space="preserve">considérant que les données fournies par les agences de l’Union et les organismes internationaux montrent qu’outre les facteurs liés au mode de vie et à l’environnement, les expositions liées au travail contribuent au développement et à l’aggravation des maladies cardiovasculaires; que les évaluations des risques et les cadres de sécurité et de santé au travail au niveau de l’Union se concentrent traditionnellement sur le cancer, les maladies respiratoires et les effets toxiques aigus, tandis que les conséquences cardiovasculaires de l’exposition professionnelle ne sont toujours pas suffisamment reconnues et prises en considération; </w:t>
      </w:r>
    </w:p>
    <w:p w:rsidR="009D2B59" w:rsidRPr="00A110D9" w:rsidP="005764ED" w14:paraId="012894D2" w14:textId="77777777">
      <w:pPr>
        <w:pStyle w:val="NormalHanging12a"/>
      </w:pPr>
      <w:r w:rsidRPr="00A110D9">
        <w:t>S.</w:t>
      </w:r>
      <w:r w:rsidRPr="00A110D9">
        <w:tab/>
        <w:t xml:space="preserve">considérant que les femmes sont systématiquement sous-diagnostiquées et sous-traitées pour les maladies cardiovasculaires en raison de facteurs de risque biologiques, notamment les issues défavorables des grossesses, des biais sexistes dans la politique de santé, le diagnostic, le traitement et la recherche clinique, notamment la sous-représentation persistante des femmes dans les essais cliniques, ce qui entraîne des retards dans les soins et de moins bons résultats en matière de </w:t>
      </w:r>
      <w:r w:rsidRPr="00A110D9">
        <w:t>santé;</w:t>
      </w:r>
    </w:p>
    <w:p w:rsidR="009D2B59" w:rsidRPr="00A110D9" w:rsidP="005764ED" w14:paraId="0CE1FEFB" w14:textId="77777777">
      <w:pPr>
        <w:pStyle w:val="NormalHanging12a"/>
      </w:pPr>
      <w:r w:rsidRPr="00A110D9">
        <w:t>T.</w:t>
      </w:r>
      <w:r w:rsidRPr="00A110D9">
        <w:tab/>
        <w:t xml:space="preserve">considérant que plusieurs problèmes de santé génésique, tels que l’infertilité attribuée aux troubles ovulatoires et à l’endométriose, les troubles hypertensifs de la grossesse, les contraceptifs hormonaux et la transition vers la ménopause, sont liés à un risque </w:t>
      </w:r>
      <w:r w:rsidRPr="00A110D9">
        <w:t>cardiovasculaire accru</w:t>
      </w:r>
      <w:r>
        <w:rPr>
          <w:rStyle w:val="FootnoteReference"/>
        </w:rPr>
        <w:footnoteReference w:id="21"/>
      </w:r>
      <w:r w:rsidRPr="00A110D9">
        <w:t>; considérant que des données scientifiques indiquent que le syndrome des ovaires polykystiques est le trouble endocrinien le plus courant chez les femmes en âge de procréer et qu’il est associé à un risque accru d’hypertension, d’accident vasculaire cérébral et de maladie cardiovasculaire, indépendamment de l’indice de masse corporelle</w:t>
      </w:r>
      <w:r>
        <w:rPr>
          <w:rStyle w:val="FootnoteReference"/>
        </w:rPr>
        <w:footnoteReference w:id="22"/>
      </w:r>
      <w:r w:rsidRPr="00A110D9">
        <w:t xml:space="preserve">; considérant qu’il a été constaté que l’endométriose est associée à un risque accru d’ischémie cardiaque et de maladie </w:t>
      </w:r>
      <w:r w:rsidRPr="00A110D9">
        <w:t>cérébrovasculaire</w:t>
      </w:r>
      <w:r>
        <w:rPr>
          <w:rStyle w:val="FootnoteReference"/>
        </w:rPr>
        <w:footnoteReference w:id="23"/>
      </w:r>
      <w:r w:rsidRPr="00A110D9">
        <w:t xml:space="preserve">; </w:t>
      </w:r>
    </w:p>
    <w:p w:rsidR="009D2B59" w:rsidRPr="00A110D9" w:rsidP="005764ED" w14:paraId="54FF899F" w14:textId="77777777">
      <w:pPr>
        <w:pStyle w:val="NormalHanging12a"/>
      </w:pPr>
      <w:r w:rsidRPr="00A110D9">
        <w:t>U.</w:t>
      </w:r>
      <w:r w:rsidRPr="00A110D9">
        <w:tab/>
        <w:t xml:space="preserve">considérant que la recherche sur les maladies cardiovasculaires et les facteurs de risque associés, tels que la prééclampsie et le diabète gestationnel, bénéficie d’un faible financement en proportion du fardeau sanitaire qu’elles </w:t>
      </w:r>
      <w:r w:rsidRPr="00A110D9">
        <w:t>représentent;</w:t>
      </w:r>
      <w:r w:rsidRPr="00A110D9">
        <w:t xml:space="preserve"> </w:t>
      </w:r>
    </w:p>
    <w:p w:rsidR="009D2B59" w:rsidRPr="00A110D9" w:rsidP="005764ED" w14:paraId="6A4F8511" w14:textId="77777777">
      <w:pPr>
        <w:pStyle w:val="NormalHanging12a"/>
      </w:pPr>
      <w:r w:rsidRPr="00A110D9">
        <w:t>V.</w:t>
      </w:r>
      <w:r w:rsidRPr="00A110D9">
        <w:tab/>
        <w:t>considérant que les maladies cardiovasculaires sont toujours perçues comme un problème masculin; que les femmes sont cinq fois moins susceptibles de considérer les maladies cardiaques comme un problème de santé majeur</w:t>
      </w:r>
      <w:r>
        <w:rPr>
          <w:rStyle w:val="FootnoteReference"/>
        </w:rPr>
        <w:footnoteReference w:id="24"/>
      </w:r>
      <w:r w:rsidRPr="00A110D9">
        <w:t xml:space="preserve"> ou une cause majeure de décès; que les femmes sont moins susceptibles de participer à un dépistage cardiovasculaire; que de nombreux médicaments cardiovasculaires couramment utilisés ne disposent pas de données de sécurité ventilées par sexe suffisantes, par exemple en cas d’utilisation pendant la grossesse, ce qui limite les possibilités de traitement et expose les femmes enceintes à des risques accrus pour la santé;</w:t>
      </w:r>
    </w:p>
    <w:p w:rsidR="009D2B59" w:rsidRPr="00A110D9" w:rsidP="005764ED" w14:paraId="07B0DFB4" w14:textId="77777777">
      <w:pPr>
        <w:pStyle w:val="NormalHanging12a"/>
      </w:pPr>
      <w:r w:rsidRPr="00A110D9">
        <w:t>W.</w:t>
      </w:r>
      <w:r w:rsidRPr="00A110D9">
        <w:tab/>
        <w:t xml:space="preserve">considérant qu’un plan coordonné et global de l’Union pour la santé cardiovasculaire peut aider les États membres à accélérer la mise en œuvre de mesures de prévention intégrées fondées sur des données probantes pour les maladies cardiovasculaires et les facteurs de risque associés, y compris la prévention secondaire et le suivi systématique, à renforcer les systèmes de soins de santé, à accroître la résilience, à étendre la coopération transfrontière, à sensibiliser aux symptômes et aux mesures à prendre en réponse aux événements cardiovasculaires, à fournir un accès rapide et abordable aux médicaments et à réduire les inégalités en matière de résultats cardiovasculaires et de comorbidités interconnectées dans l’ensemble de l’Union; </w:t>
      </w:r>
    </w:p>
    <w:p w:rsidR="009D2B59" w:rsidRPr="00A110D9" w:rsidP="005764ED" w14:paraId="2782BFE7" w14:textId="77777777">
      <w:pPr>
        <w:pStyle w:val="NormalHanging12a"/>
      </w:pPr>
      <w:r w:rsidRPr="00A110D9">
        <w:t>X.</w:t>
      </w:r>
      <w:r w:rsidRPr="00A110D9">
        <w:tab/>
        <w:t>considérant que la plupart des décès dus aux maladies cardiovasculaires sont évitables et que 74 % de la charge de morbidité cardiovasculaire peut être imputée à des facteurs de risque modifiables</w:t>
      </w:r>
      <w:r>
        <w:rPr>
          <w:rStyle w:val="FootnoteReference"/>
        </w:rPr>
        <w:footnoteReference w:id="25"/>
      </w:r>
      <w:r w:rsidRPr="00A110D9">
        <w:t xml:space="preserve">; que bon nombre de ces facteurs de risque, y compris le tabagisme, la consommation nocive d’alcool, en particulier à des niveaux dépassant les recommandations scientifiques en matière de santé, les régimes alimentaires malsains, l’inactivité physique et les expositions environnementales, sont partagés avec d’autres maladies non transmissibles, notamment le cancer; </w:t>
      </w:r>
    </w:p>
    <w:p w:rsidR="009D2B59" w:rsidRPr="00A110D9" w:rsidP="005764ED" w14:paraId="5E08CDA5" w14:textId="77777777">
      <w:pPr>
        <w:pStyle w:val="NormalHanging12a"/>
      </w:pPr>
      <w:r w:rsidRPr="00A110D9">
        <w:t>Y.</w:t>
      </w:r>
      <w:r w:rsidRPr="00A110D9">
        <w:tab/>
        <w:t xml:space="preserve">considérant que certains décès dus à des maladies cardiovasculaires sont également imputables à des facteurs de risque non modifiables, y compris des maladies génétiques </w:t>
      </w:r>
      <w:r w:rsidRPr="00A110D9">
        <w:t>héréditaires;</w:t>
      </w:r>
      <w:r w:rsidRPr="00A110D9">
        <w:t xml:space="preserve"> </w:t>
      </w:r>
    </w:p>
    <w:p w:rsidR="009D2B59" w:rsidRPr="00A110D9" w:rsidP="005764ED" w14:paraId="12C60CC9" w14:textId="77777777">
      <w:pPr>
        <w:pStyle w:val="NormalHanging12a"/>
      </w:pPr>
      <w:r w:rsidRPr="00A110D9">
        <w:t>Z.</w:t>
      </w:r>
      <w:r w:rsidRPr="00A110D9">
        <w:tab/>
        <w:t xml:space="preserve">considérant que la vaccination peut constituer une intervention sanitaire efficace pour soutenir la prévention et la gestion des maladies cardiovasculaires en fournissant une immunisation et en réduisant par conséquent le risque d’événements cardiovasculaires provoqués par des infections et des complications connexes, et qu’elle constitue une mesure importante pour améliorer la survie, réduire les hospitalisations et améliorer la qualité de vie des patients; se félicite de la prochaine recommandation du Conseil concernant la vaccination contre les infections respiratoires dans le cadre des stratégies de prévention des maladies cardiovasculaires; </w:t>
      </w:r>
    </w:p>
    <w:p w:rsidR="009D2B59" w:rsidRPr="00A110D9" w:rsidP="005764ED" w14:paraId="52E52654" w14:textId="77777777">
      <w:pPr>
        <w:pStyle w:val="NormalHanging12a"/>
      </w:pPr>
      <w:r w:rsidRPr="00A110D9">
        <w:t>AA.</w:t>
      </w:r>
      <w:r w:rsidRPr="00A110D9">
        <w:tab/>
      </w:r>
      <w:r w:rsidRPr="00A110D9">
        <w:t>considérant</w:t>
      </w:r>
      <w:r w:rsidRPr="00A110D9">
        <w:t xml:space="preserve"> que des soins de santé primaires performants et dotés de ressources suffisantes, une prévention efficace et un dépistage précoce basé sur les risques sont essentiels pour réduire le nombre de décès et de handicaps évitables et constituent la stratégie la plus rentable pour la viabilité des soins de santé universels; </w:t>
      </w:r>
    </w:p>
    <w:p w:rsidR="009D2B59" w:rsidRPr="00A110D9" w:rsidP="005764ED" w14:paraId="3BFC3DE8" w14:textId="77777777">
      <w:pPr>
        <w:pStyle w:val="NormalHanging12a"/>
      </w:pPr>
      <w:r w:rsidRPr="00A110D9">
        <w:t>AB.</w:t>
      </w:r>
      <w:r w:rsidRPr="00A110D9">
        <w:tab/>
        <w:t xml:space="preserve">considérant que la plupart des pays sont confrontés à une pénurie de médecins généralistes et spécialistes et à une répartition inégale des professionnels de la santé entre les régions, en raison des pressions démographiques et des conditions de travail difficiles, y compris le vieillissement du personnel de santé et les difficultés à attirer et à retenir les professionnels, ce qui nuit à l’accès en temps utile des patients aux conseils médicaux et aux soins ainsi qu’à la viabilité des systèmes de santé; considérant que selon les estimations actuelles, le nombre futur de cardiologues sera insuffisant pour répondre à la demande croissante de prévention et de soins cardiovasculaires et que les conséquences psychosociales des maladies cardiovasculaires restent insuffisamment couvertes; </w:t>
      </w:r>
    </w:p>
    <w:p w:rsidR="009D2B59" w:rsidRPr="00A110D9" w:rsidP="005764ED" w14:paraId="56DFBB81" w14:textId="77777777">
      <w:pPr>
        <w:pStyle w:val="NormalHanging12a"/>
      </w:pPr>
      <w:r w:rsidRPr="00A110D9">
        <w:t>AC.</w:t>
      </w:r>
      <w:r w:rsidRPr="00A110D9">
        <w:tab/>
        <w:t xml:space="preserve">considérant que l’arrêt cardiaque hors hôpital reste l’une des principales causes de mortalité évitable grâce à la prévention; que la survie dépend essentiellement de la reconnaissance immédiate de l’arrêt cardiaque, de la réanimation cardio-pulmonaire précoce par les témoins, d’une défibrillation rapide et d’une réanimation avancée effectuée en temps opportun; que l’amélioration de la réaction communautaire et de la performance des services d’aide médicale d’urgence est essentielle pour réduire les décès cardiovasculaires évitables; </w:t>
      </w:r>
    </w:p>
    <w:p w:rsidR="009D2B59" w:rsidRPr="00A110D9" w:rsidP="005764ED" w14:paraId="602935FA" w14:textId="77777777">
      <w:pPr>
        <w:pStyle w:val="NormalHanging12a"/>
      </w:pPr>
      <w:r w:rsidRPr="00A110D9">
        <w:t>AD.</w:t>
      </w:r>
      <w:r w:rsidRPr="00A110D9">
        <w:tab/>
        <w:t xml:space="preserve">considérant que la rapidité du diagnostic et du traitement joue un rôle essentiel dans l’atténuation des effets à long terme des accidents cardiovasculaires; que de nombreux accidents cardiovasculaires sont mal diagnostiqués, ce qui entraîne des risques plus élevés de récidive et de troubles de santé à long terme pour les patients; considérant que, dans les syndromes coronariens aigus, et en particulier dans l’infarctus du myocarde avec élévation du segment ST, les résultats dépendent fortement du temps nécessaire à la reperfusion; que les retards dans l’ouverture des artères coronaires occluses augmentent les lésions myocardiques, le risque d’insuffisance cardiaque et la mortalité; que la réduction des retards du système nécessite des réseaux coordonnés depuis le premier contact médical jusqu’à la reperfusion définitive; </w:t>
      </w:r>
    </w:p>
    <w:p w:rsidR="009D2B59" w:rsidRPr="00A110D9" w:rsidP="005764ED" w14:paraId="2808AA2A" w14:textId="77777777">
      <w:pPr>
        <w:pStyle w:val="NormalHanging12a"/>
      </w:pPr>
      <w:r w:rsidRPr="00A110D9">
        <w:t>AE.</w:t>
      </w:r>
      <w:r w:rsidRPr="00A110D9">
        <w:tab/>
      </w:r>
      <w:r w:rsidRPr="00A110D9">
        <w:t>considérant</w:t>
      </w:r>
      <w:r w:rsidRPr="00A110D9">
        <w:t xml:space="preserve"> qu’un accès fiable et rapide aux médicaments cardiovasculaires essentiels est une pierre angulaire d’une prévention et de soins efficaces</w:t>
      </w:r>
      <w:r>
        <w:rPr>
          <w:rStyle w:val="FootnoteReference"/>
        </w:rPr>
        <w:footnoteReference w:id="26"/>
      </w:r>
      <w:r w:rsidRPr="00A110D9">
        <w:t xml:space="preserve"> des maladies cardiovasculaires; </w:t>
      </w:r>
    </w:p>
    <w:p w:rsidR="009D2B59" w:rsidRPr="00A110D9" w:rsidP="005764ED" w14:paraId="6F74C7C6" w14:textId="77777777">
      <w:pPr>
        <w:pStyle w:val="NormalHanging12a"/>
      </w:pPr>
      <w:r w:rsidRPr="00A110D9">
        <w:t>AF.</w:t>
      </w:r>
      <w:r w:rsidRPr="00A110D9">
        <w:tab/>
      </w:r>
      <w:r w:rsidRPr="00A110D9">
        <w:t>considérant</w:t>
      </w:r>
      <w:r w:rsidRPr="00A110D9">
        <w:t xml:space="preserve"> que, dans certaines circonstances, les pharmaciens hospitaliers et de proximité peuvent être les professionnels de santé les plus accessibles et contribuer à la prévention des maladies cardiovasculaires, à la détection précoce, à l’observance des traitements et aux soins de longue durée;</w:t>
      </w:r>
    </w:p>
    <w:p w:rsidR="009D2B59" w:rsidRPr="00A110D9" w:rsidP="005764ED" w14:paraId="6E20F1CF" w14:textId="77777777">
      <w:pPr>
        <w:pStyle w:val="NormalHanging12a"/>
      </w:pPr>
      <w:r w:rsidRPr="00A110D9">
        <w:t>AG.</w:t>
      </w:r>
      <w:r w:rsidRPr="00A110D9">
        <w:tab/>
      </w:r>
      <w:r w:rsidRPr="00A110D9">
        <w:t>considérant</w:t>
      </w:r>
      <w:r w:rsidRPr="00A110D9">
        <w:t xml:space="preserve"> que les déterminants sociaux de la santé font référence aux facteurs et systèmes non médicaux qui influencent les conditions de la vie quotidienne et sont définis comme les circonstances dans lesquelles les personnes naissent, grandissent, vivent, travaillent et vieillissent</w:t>
      </w:r>
      <w:r>
        <w:rPr>
          <w:rStyle w:val="FootnoteReference"/>
        </w:rPr>
        <w:footnoteReference w:id="27"/>
      </w:r>
      <w:r>
        <w:rPr>
          <w:rStyle w:val="FootnoteReference"/>
        </w:rPr>
        <w:footnoteReference w:id="28"/>
      </w:r>
      <w:r w:rsidRPr="00A110D9">
        <w:t>;</w:t>
      </w:r>
    </w:p>
    <w:p w:rsidR="009D2B59" w:rsidRPr="00A110D9" w:rsidP="005764ED" w14:paraId="00E98E36" w14:textId="77777777">
      <w:pPr>
        <w:pStyle w:val="NormalHanging12a"/>
      </w:pPr>
      <w:r w:rsidRPr="00A110D9">
        <w:t>AH.</w:t>
      </w:r>
      <w:r w:rsidRPr="00A110D9">
        <w:tab/>
      </w:r>
      <w:r w:rsidRPr="00A110D9">
        <w:t>considérant</w:t>
      </w:r>
      <w:r w:rsidRPr="00A110D9">
        <w:t xml:space="preserve"> que les déterminants sociaux de la santé, y compris le marketing et les allégations de santé trompeuses, peuvent saper les politiques de prévention et normaliser la consommation nocive; que la prise en compte des déterminants sociaux est essentielle pour garantir la cohérence et l’efficacité des stratégies de l’Union en matière de maladies non transmissibles;</w:t>
      </w:r>
    </w:p>
    <w:p w:rsidR="009D2B59" w:rsidRPr="00A110D9" w:rsidP="005764ED" w14:paraId="1B015269" w14:textId="77777777">
      <w:pPr>
        <w:pStyle w:val="NormalHanging12a"/>
      </w:pPr>
      <w:r w:rsidRPr="00A110D9">
        <w:t>AI.</w:t>
      </w:r>
      <w:r w:rsidRPr="00A110D9">
        <w:tab/>
      </w:r>
      <w:r w:rsidRPr="00A110D9">
        <w:t>considérant</w:t>
      </w:r>
      <w:r w:rsidRPr="00A110D9">
        <w:t xml:space="preserve"> que l’exposition aux déterminants sociaux de la santé varie d’un groupe socio-économique à l’autre; que de nombreux produits nocifs pour la santé sont consommés par les enfants et les jeunes;</w:t>
      </w:r>
    </w:p>
    <w:p w:rsidR="009D2B59" w:rsidRPr="00A110D9" w:rsidP="005764ED" w14:paraId="1CC340BE" w14:textId="77777777">
      <w:pPr>
        <w:pStyle w:val="NormalHanging12a"/>
      </w:pPr>
      <w:r w:rsidRPr="00A110D9">
        <w:t>AJ.</w:t>
      </w:r>
      <w:r w:rsidRPr="00A110D9">
        <w:tab/>
      </w:r>
      <w:r w:rsidRPr="00A110D9">
        <w:t>considérant</w:t>
      </w:r>
      <w:r w:rsidRPr="00A110D9">
        <w:t xml:space="preserve"> qu’une prévention efficace au niveau de la population nécessite une action politique structurelle allant au-delà du changement de comportement individuel</w:t>
      </w:r>
      <w:r>
        <w:rPr>
          <w:rStyle w:val="FootnoteReference"/>
        </w:rPr>
        <w:footnoteReference w:id="29"/>
      </w:r>
      <w:r w:rsidRPr="00A110D9">
        <w:t>;</w:t>
      </w:r>
    </w:p>
    <w:p w:rsidR="009D2B59" w:rsidRPr="00A110D9" w:rsidP="005764ED" w14:paraId="099779A7" w14:textId="77777777">
      <w:pPr>
        <w:pStyle w:val="NormalHanging12a"/>
      </w:pPr>
      <w:r w:rsidRPr="00A110D9">
        <w:t>AK.</w:t>
      </w:r>
      <w:r w:rsidRPr="00A110D9">
        <w:tab/>
      </w:r>
      <w:r w:rsidRPr="00A110D9">
        <w:t>considérant</w:t>
      </w:r>
      <w:r w:rsidRPr="00A110D9">
        <w:t xml:space="preserve"> que, selon le plan pour un cœur en bonne santé, la fiscalité a joué un rôle important dans la réduction des facteurs de risque liés aux modes de vie des citoyens et qu’environ 40 % de la baisse du tabagisme dans l’Union au cours de la dernière décennie peut être attribuée à la fiscalité; </w:t>
      </w:r>
    </w:p>
    <w:p w:rsidR="009D2B59" w:rsidRPr="00A110D9" w:rsidP="005764ED" w14:paraId="1322B57A" w14:textId="77777777">
      <w:pPr>
        <w:pStyle w:val="NormalHanging12a"/>
      </w:pPr>
      <w:r w:rsidRPr="00A110D9">
        <w:t>AL.</w:t>
      </w:r>
      <w:r w:rsidRPr="00A110D9">
        <w:tab/>
        <w:t>considérant que la nicotine est une toxine cardiovasculaire addictive et que son utilisation présente de graves dangers pour la santé; que le tabagisme, y compris le tabagisme actif, l’exposition à la fumée secondaire et l’utilisation de nouveaux produits à base de nicotine, reste un facteur de risque majeur de maladies cardiovasculaires, ce qui augmente considérablement le risque d’ischémie cardiaque, d’accident vasculaire cérébral, d’anévrisme aortique et de maladie artérielle périphérique; qu’en 2023, le tabagisme était responsable d’environ 160 000 décès d’origine cardiovasculaire et de plus de 3,27 millions d’années de vie perdues, corrigées du facteur invalidité, dans l’Union</w:t>
      </w:r>
      <w:r>
        <w:rPr>
          <w:rStyle w:val="FootnoteReference"/>
        </w:rPr>
        <w:footnoteReference w:id="30"/>
      </w:r>
      <w:r w:rsidRPr="00A110D9">
        <w:t>, les hommes et les populations socio-économiquement défavorisées étant touchés de manière disproportionnée;</w:t>
      </w:r>
    </w:p>
    <w:p w:rsidR="009D2B59" w:rsidRPr="00A110D9" w:rsidP="005764ED" w14:paraId="3598D530" w14:textId="77777777">
      <w:pPr>
        <w:pStyle w:val="NormalHanging12a"/>
      </w:pPr>
      <w:r w:rsidRPr="00A110D9">
        <w:t>AM.</w:t>
      </w:r>
      <w:r w:rsidRPr="00A110D9">
        <w:tab/>
      </w:r>
      <w:r w:rsidRPr="00A110D9">
        <w:t>considérant</w:t>
      </w:r>
      <w:r w:rsidRPr="00A110D9">
        <w:t xml:space="preserve"> que le coût économique du tabagisme en Europe, y compris les dépenses de santé, la perte de productivité et la mortalité prématurée, dépasse 300 milliards d’euros par an; que la prévention est plus efficace que tout traitement et qu’elle constitue la </w:t>
      </w:r>
      <w:r w:rsidRPr="00A110D9">
        <w:t xml:space="preserve">stratégie de contrôle cardiovasculaire à long terme la plus rentable; </w:t>
      </w:r>
    </w:p>
    <w:p w:rsidR="009D2B59" w:rsidRPr="00A110D9" w:rsidP="005764ED" w14:paraId="433755B0" w14:textId="77777777">
      <w:pPr>
        <w:pStyle w:val="NormalHanging12a"/>
      </w:pPr>
      <w:r w:rsidRPr="00A110D9">
        <w:t>AN.</w:t>
      </w:r>
      <w:r w:rsidRPr="00A110D9">
        <w:tab/>
      </w:r>
      <w:r w:rsidRPr="00A110D9">
        <w:t>considérant</w:t>
      </w:r>
      <w:r w:rsidRPr="00A110D9">
        <w:t xml:space="preserve"> que le tabagisme reste la principale cause évitable de maladies non transmissibles dans l’Union, aggravant encore les inégalités en matière de santé; que des politiques fortes de lutte antitabac constituent une pierre angulaire de la prévention des maladies cardiovasculaires et du cancer, ces maladies étant les deux principales causes de décès dans l’Union;</w:t>
      </w:r>
    </w:p>
    <w:p w:rsidR="009D2B59" w:rsidRPr="00A110D9" w:rsidP="005764ED" w14:paraId="3CDF086B" w14:textId="77777777">
      <w:pPr>
        <w:pStyle w:val="NormalHanging12a"/>
      </w:pPr>
      <w:r w:rsidRPr="00A110D9">
        <w:t>AO.</w:t>
      </w:r>
      <w:r w:rsidRPr="00A110D9">
        <w:tab/>
      </w:r>
      <w:r w:rsidRPr="00A110D9">
        <w:t>considérant</w:t>
      </w:r>
      <w:r w:rsidRPr="00A110D9">
        <w:t xml:space="preserve"> que même une consommation faible ou occasionnelle de tabac augmente considérablement le risque cardiovasculaire et que l’utilisation des nouveaux produits du tabac et de la nicotine est également associée à une augmentation de la mortalité cardiovasculaire;</w:t>
      </w:r>
    </w:p>
    <w:p w:rsidR="009D2B59" w:rsidRPr="00A110D9" w:rsidP="005764ED" w14:paraId="5352D5A6" w14:textId="77777777">
      <w:pPr>
        <w:pStyle w:val="NormalHanging12a"/>
      </w:pPr>
      <w:r w:rsidRPr="00A110D9">
        <w:t>AP.</w:t>
      </w:r>
      <w:r w:rsidRPr="00A110D9">
        <w:tab/>
      </w:r>
      <w:r w:rsidRPr="00A110D9">
        <w:t>considérant</w:t>
      </w:r>
      <w:r w:rsidRPr="00A110D9">
        <w:t xml:space="preserve"> que d’après des données scientifiques, les cigarettes électroniques ne sont pas sans danger et présentent des risques cardiovasculaires importants, y compris du fait de mécanismes augmentant le risque de thrombose et d’athérosclérose, notamment en raison de l’exposition à la nicotine et de l’inhalation de substances toxiques;</w:t>
      </w:r>
    </w:p>
    <w:p w:rsidR="009D2B59" w:rsidRPr="00A110D9" w:rsidP="005764ED" w14:paraId="2BDB26E9" w14:textId="77777777">
      <w:pPr>
        <w:pStyle w:val="NormalHanging12a"/>
      </w:pPr>
      <w:r w:rsidRPr="00A110D9">
        <w:t>AQ.</w:t>
      </w:r>
      <w:r w:rsidRPr="00A110D9">
        <w:tab/>
      </w:r>
      <w:r w:rsidRPr="00A110D9">
        <w:t>considérant</w:t>
      </w:r>
      <w:r w:rsidRPr="00A110D9">
        <w:t xml:space="preserve"> que l’OMS ne recommande pas la cigarette électronique comme outil de sevrage tabagique et que des données indiquent que l’utilisation de la cigarette électronique est associée à une adoption accrue des produits du tabac conventionnels, en particulier chez les jeunes;</w:t>
      </w:r>
    </w:p>
    <w:p w:rsidR="009D2B59" w:rsidRPr="00A110D9" w:rsidP="005764ED" w14:paraId="117077D0" w14:textId="77777777">
      <w:pPr>
        <w:pStyle w:val="NormalHanging12a"/>
      </w:pPr>
      <w:r w:rsidRPr="00A110D9">
        <w:t>AR.</w:t>
      </w:r>
      <w:r w:rsidRPr="00A110D9">
        <w:tab/>
      </w:r>
      <w:r w:rsidRPr="00A110D9">
        <w:t>considérant</w:t>
      </w:r>
      <w:r w:rsidRPr="00A110D9">
        <w:t xml:space="preserve"> que la santé cardiovasculaire est fortement influencée par des facteurs environnementaux, sociaux, commerciaux et économiques qui ne relèvent pas du secteur de la santé; que l’application systématique d’une approche intégrant les questions de santé dans toutes les politiques, associée à une perspective «Une seule santé», est essentielle pour une prévention efficace des maladies cardiovasculaires;</w:t>
      </w:r>
    </w:p>
    <w:p w:rsidR="009D2B59" w:rsidRPr="00A110D9" w:rsidP="005764ED" w14:paraId="22B11EC3" w14:textId="77777777">
      <w:pPr>
        <w:pStyle w:val="NormalHanging12a"/>
      </w:pPr>
      <w:r w:rsidRPr="00A110D9">
        <w:t>AS.</w:t>
      </w:r>
      <w:r w:rsidRPr="00A110D9">
        <w:tab/>
      </w:r>
      <w:r w:rsidRPr="00A110D9">
        <w:t>considérant</w:t>
      </w:r>
      <w:r w:rsidRPr="00A110D9">
        <w:t xml:space="preserve"> que l’obésité, le diabète, un mode de vie sédentaire et une activité physique insuffisante sont des facteurs majeurs de morbidité et de mortalité cardiovasculaires, et que les progrès dans la réduction de ces facteurs de risque sont au point mort ou se sont inversés dans plusieurs États membres; </w:t>
      </w:r>
    </w:p>
    <w:p w:rsidR="009D2B59" w:rsidRPr="00A110D9" w:rsidP="005764ED" w14:paraId="7FF5DB27" w14:textId="77777777">
      <w:pPr>
        <w:pStyle w:val="NormalHanging12a"/>
      </w:pPr>
      <w:r w:rsidRPr="00A110D9">
        <w:t>AT.</w:t>
      </w:r>
      <w:r w:rsidRPr="00A110D9">
        <w:tab/>
      </w:r>
      <w:r w:rsidRPr="00A110D9">
        <w:t>considérant</w:t>
      </w:r>
      <w:r w:rsidRPr="00A110D9">
        <w:t xml:space="preserve"> qu’il a été démontré que des liens sociaux forts et le soutien de la famille, des amis et des communautés améliorent les résultats en matière de santé cardiovasculaire, en réduisant le risque d’événements cardiovasculaires, en soutenant la guérison et en renforçant l’observance du traitement, effets qui ne peuvent pas être reproduits uniquement par l’intelligence artificielle ou les interventions numériques</w:t>
      </w:r>
      <w:r>
        <w:rPr>
          <w:rStyle w:val="FootnoteReference"/>
        </w:rPr>
        <w:footnoteReference w:id="31"/>
      </w:r>
      <w:r w:rsidRPr="00A110D9">
        <w:t>;</w:t>
      </w:r>
    </w:p>
    <w:p w:rsidR="009D2B59" w:rsidRPr="00A110D9" w:rsidP="005764ED" w14:paraId="15E56FD7" w14:textId="77777777">
      <w:pPr>
        <w:pStyle w:val="NormalHanging12a"/>
      </w:pPr>
      <w:r w:rsidRPr="00A110D9">
        <w:t>AU.</w:t>
      </w:r>
      <w:r w:rsidRPr="00A110D9">
        <w:tab/>
      </w:r>
      <w:r w:rsidRPr="00A110D9">
        <w:t>considérant</w:t>
      </w:r>
      <w:r w:rsidRPr="00A110D9">
        <w:t xml:space="preserve"> que près de 80 % de la charge que représentent les maladies cardiovasculaires sont imputables à des facteurs de risque modifiables</w:t>
      </w:r>
      <w:r>
        <w:rPr>
          <w:rStyle w:val="FootnoteReference"/>
        </w:rPr>
        <w:footnoteReference w:id="32"/>
      </w:r>
      <w:r w:rsidRPr="00A110D9">
        <w:t>;</w:t>
      </w:r>
    </w:p>
    <w:p w:rsidR="009D2B59" w:rsidRPr="00A110D9" w:rsidP="005764ED" w14:paraId="1E004A92" w14:textId="77777777">
      <w:pPr>
        <w:pStyle w:val="NormalHanging12a"/>
      </w:pPr>
      <w:r w:rsidRPr="00A110D9">
        <w:t>AV.</w:t>
      </w:r>
      <w:r w:rsidRPr="00A110D9">
        <w:tab/>
      </w:r>
      <w:r w:rsidRPr="00A110D9">
        <w:t>considérant</w:t>
      </w:r>
      <w:r w:rsidRPr="00A110D9">
        <w:t xml:space="preserve"> que l’approche fondée sur l’</w:t>
      </w:r>
      <w:r w:rsidRPr="00A110D9">
        <w:t>exposome</w:t>
      </w:r>
      <w:r w:rsidRPr="00A110D9">
        <w:t xml:space="preserve"> tient compte de l’ensemble des expositions environnementales, chimiques, physiques, biologiques, sociales et comportementales au cours de la vie d’un individu et fournit un cadre unifié pour une prévention ciblée; que des études ont montré une forte corrélation entre l’</w:t>
      </w:r>
      <w:r w:rsidRPr="00A110D9">
        <w:t>exposome</w:t>
      </w:r>
      <w:r w:rsidRPr="00A110D9">
        <w:t xml:space="preserve"> et la santé cardiovasculaire</w:t>
      </w:r>
      <w:r>
        <w:rPr>
          <w:rStyle w:val="FootnoteReference"/>
        </w:rPr>
        <w:footnoteReference w:id="33"/>
      </w:r>
      <w:r w:rsidRPr="00A110D9">
        <w:t>, divers composants de l’</w:t>
      </w:r>
      <w:r w:rsidRPr="00A110D9">
        <w:t>exposome</w:t>
      </w:r>
      <w:r w:rsidRPr="00A110D9">
        <w:t xml:space="preserve"> ayant été impliqués dans le développement et la progression des maladies cardiovasculaires; </w:t>
      </w:r>
    </w:p>
    <w:p w:rsidR="009D2B59" w:rsidRPr="00A110D9" w:rsidP="005764ED" w14:paraId="0C39971D" w14:textId="77777777">
      <w:pPr>
        <w:pStyle w:val="NormalHanging12a"/>
      </w:pPr>
      <w:r w:rsidRPr="00A110D9">
        <w:t>AW.</w:t>
      </w:r>
      <w:r w:rsidRPr="00A110D9">
        <w:tab/>
      </w:r>
      <w:r w:rsidRPr="00A110D9">
        <w:t>considérant</w:t>
      </w:r>
      <w:r w:rsidRPr="00A110D9">
        <w:t xml:space="preserve"> que des données indiquent que l’exposition au bruit communautaire supérieure à </w:t>
      </w:r>
      <w:r w:rsidRPr="00A110D9">
        <w:t>Lden</w:t>
      </w:r>
      <w:r w:rsidRPr="00A110D9">
        <w:t xml:space="preserve"> 70 dB et </w:t>
      </w:r>
      <w:r w:rsidRPr="00A110D9">
        <w:t>Lnight</w:t>
      </w:r>
      <w:r w:rsidRPr="00A110D9">
        <w:t xml:space="preserve"> 60 dB peut nuire au développement comportemental et cognitif des enfants et est associée à un risque cardiovasculaire accru tout au long de la vie</w:t>
      </w:r>
      <w:r>
        <w:rPr>
          <w:rStyle w:val="FootnoteReference"/>
        </w:rPr>
        <w:footnoteReference w:id="34"/>
      </w:r>
      <w:r w:rsidRPr="00A110D9">
        <w:t xml:space="preserve">; </w:t>
      </w:r>
    </w:p>
    <w:p w:rsidR="009D2B59" w:rsidRPr="00A110D9" w:rsidP="005764ED" w14:paraId="1866DF5F" w14:textId="77777777">
      <w:pPr>
        <w:pStyle w:val="NormalHanging12a"/>
      </w:pPr>
      <w:r w:rsidRPr="00A110D9">
        <w:t>AX.</w:t>
      </w:r>
      <w:r w:rsidRPr="00A110D9">
        <w:tab/>
      </w:r>
      <w:r w:rsidRPr="00A110D9">
        <w:t>considérant</w:t>
      </w:r>
      <w:r w:rsidRPr="00A110D9">
        <w:t xml:space="preserve"> que la réduction de la charge que représentent les maladies cardiovasculaires nécessite une action à plusieurs niveaux, y compris des mesures au niveau de la population, afin de réduire l’exposition aux facteurs de risque, de renforcer les connaissances en matière de santé et d’améliorer les compétences des professionnels de la santé et des patients;</w:t>
      </w:r>
    </w:p>
    <w:p w:rsidR="009D2B59" w:rsidRPr="00A110D9" w:rsidP="005764ED" w14:paraId="3D93FCF4" w14:textId="77777777">
      <w:pPr>
        <w:pStyle w:val="NormalHanging12a"/>
      </w:pPr>
      <w:r w:rsidRPr="00A110D9">
        <w:t>AY.</w:t>
      </w:r>
      <w:r w:rsidRPr="00A110D9">
        <w:tab/>
      </w:r>
      <w:r w:rsidRPr="00A110D9">
        <w:t>considérant</w:t>
      </w:r>
      <w:r w:rsidRPr="00A110D9">
        <w:t xml:space="preserve"> que le dépistage cardiovasculaire et le dépistage de suivi sont des solutions de prévention appropriées, dans la mesure où ils ciblent les personnes présentant des facteurs de risque; considérant qu’il convient de prévoir un dépistage familial approprié en cas de détection de maladies cardiovasculaires avec prédisposition génétique; </w:t>
      </w:r>
    </w:p>
    <w:p w:rsidR="009D2B59" w:rsidRPr="00A110D9" w:rsidP="005764ED" w14:paraId="715BF461" w14:textId="77777777">
      <w:pPr>
        <w:pStyle w:val="NormalHanging12a"/>
      </w:pPr>
      <w:r w:rsidRPr="00A110D9">
        <w:t>AZ.</w:t>
      </w:r>
      <w:r w:rsidRPr="00A110D9">
        <w:tab/>
      </w:r>
      <w:r w:rsidRPr="00A110D9">
        <w:t>considérant</w:t>
      </w:r>
      <w:r w:rsidRPr="00A110D9">
        <w:t xml:space="preserve"> que certaines pratiques de dépistage et de diagnostic cardiovasculaires non ciblées ou non fondées sur des données probantes peuvent apporter des avantages limités tout en augmentant le surdiagnostic, le surtraitement et l’utilisation inefficace des ressources en matière de soins de santé, ce qui rend essentiel d’éviter les soins de santé de faible valeur pour la sécurité des patients et la durabilité du système; </w:t>
      </w:r>
    </w:p>
    <w:p w:rsidR="009D2B59" w:rsidRPr="00A110D9" w:rsidP="005764ED" w14:paraId="6FBB21F9" w14:textId="77777777">
      <w:pPr>
        <w:pStyle w:val="NormalHanging12a"/>
      </w:pPr>
      <w:r w:rsidRPr="00A110D9">
        <w:t>BA.</w:t>
      </w:r>
      <w:r w:rsidRPr="00A110D9">
        <w:tab/>
      </w:r>
      <w:r w:rsidRPr="00A110D9">
        <w:t>considérant</w:t>
      </w:r>
      <w:r w:rsidRPr="00A110D9">
        <w:t xml:space="preserve"> que l’activité physique régulière est un facteur de protection essentiel contre les maladies cardiovasculaires et qu’elle est particulièrement importante pour les enfants et les adolescents, car elle réduit la tension artérielle, améliore les taux de cholestérol, favorise la régulation de la glycémie, contribue à maintenir un poids corporel sain et réduit l’inflammation systémique, établissant ainsi des comportements sanitaires qui persistent jusqu’à l’âge adulte</w:t>
      </w:r>
      <w:r>
        <w:rPr>
          <w:rStyle w:val="FootnoteReference"/>
        </w:rPr>
        <w:footnoteReference w:id="35"/>
      </w:r>
      <w:r w:rsidRPr="00A110D9">
        <w:t>;</w:t>
      </w:r>
    </w:p>
    <w:p w:rsidR="009D2B59" w:rsidRPr="00A110D9" w:rsidP="005764ED" w14:paraId="79134DA8" w14:textId="77777777">
      <w:pPr>
        <w:pStyle w:val="NormalHanging12a"/>
      </w:pPr>
      <w:r w:rsidRPr="00A110D9">
        <w:t>BB.</w:t>
      </w:r>
      <w:r w:rsidRPr="00A110D9">
        <w:tab/>
        <w:t xml:space="preserve">considérant que l’alimentation et la nutrition jouent un rôle essentiel dans la prévention des maladies cardiovasculaires et qu’une mauvaise alimentation et des habitudes malsaines sont fortement associées à un risque élevé de morbidité et de mortalité liées aux maladies cardiovasculaires; considérant que la santé cardiovasculaire est influencée par les effets cumulatifs des habitudes alimentaires, étant donné qu’elles sont façonnées par les systèmes alimentaires, les pratiques sociales et les modes de disponibilité, plutôt que par des composants diététiques isolés; considérant que les approches qui ne </w:t>
      </w:r>
      <w:r w:rsidRPr="00A110D9">
        <w:t xml:space="preserve">considèrent pas la politique nutritionnelle dans ce contexte plus large risquent de simplifier excessivement les déterminants de la santé et de réduire l’efficacité des efforts de prévention des maladies cardiovasculaires; </w:t>
      </w:r>
    </w:p>
    <w:p w:rsidR="009D2B59" w:rsidRPr="00A110D9" w:rsidP="005764ED" w14:paraId="74971E23" w14:textId="77777777">
      <w:pPr>
        <w:pStyle w:val="NormalHanging12a"/>
      </w:pPr>
      <w:r w:rsidRPr="00A110D9">
        <w:t>BC.</w:t>
      </w:r>
      <w:r w:rsidRPr="00A110D9">
        <w:tab/>
      </w:r>
      <w:r w:rsidRPr="00A110D9">
        <w:t>considérant</w:t>
      </w:r>
      <w:r w:rsidRPr="00A110D9">
        <w:t xml:space="preserve"> qu’une approche préventive en matière de santé et la promotion d’habitudes saines jouent un rôle fondamental dans la lutte contre les maladies cardiovasculaires et leurs facteurs de risque; </w:t>
      </w:r>
    </w:p>
    <w:p w:rsidR="009D2B59" w:rsidRPr="00A110D9" w:rsidP="005764ED" w14:paraId="646C2B82" w14:textId="77777777">
      <w:pPr>
        <w:pStyle w:val="NormalHanging12a"/>
      </w:pPr>
      <w:r w:rsidRPr="00A110D9">
        <w:t>BD.</w:t>
      </w:r>
      <w:r w:rsidRPr="00A110D9">
        <w:tab/>
      </w:r>
      <w:r w:rsidRPr="00A110D9">
        <w:t>considérant</w:t>
      </w:r>
      <w:r w:rsidRPr="00A110D9">
        <w:t xml:space="preserve"> que les systèmes alimentaires contribuent à la santé humaine et à la santé de la planète; </w:t>
      </w:r>
    </w:p>
    <w:p w:rsidR="009D2B59" w:rsidRPr="00A110D9" w:rsidP="005764ED" w14:paraId="24CE11BD" w14:textId="77777777">
      <w:pPr>
        <w:pStyle w:val="NormalHanging12a"/>
      </w:pPr>
      <w:r w:rsidRPr="00A110D9">
        <w:t>BE.</w:t>
      </w:r>
      <w:r w:rsidRPr="00A110D9">
        <w:tab/>
      </w:r>
      <w:r w:rsidRPr="00A110D9">
        <w:t>considérant</w:t>
      </w:r>
      <w:r w:rsidRPr="00A110D9">
        <w:t xml:space="preserve"> que les boissons énergisantes peuvent présenter des risques cardiovasculaires, en particulier pour les jeunes, en raison des taux élevés de caféine et d’autres stimulants, qui peuvent provoquer une augmentation du rythme cardiaque, une tension artérielle élevée et des rythmes cardiaques anormaux; </w:t>
      </w:r>
    </w:p>
    <w:p w:rsidR="009D2B59" w:rsidRPr="00A110D9" w:rsidP="005764ED" w14:paraId="108B4EA3" w14:textId="77777777">
      <w:pPr>
        <w:pStyle w:val="NormalHanging12a"/>
      </w:pPr>
      <w:r w:rsidRPr="00A110D9">
        <w:t>BF.</w:t>
      </w:r>
      <w:r w:rsidRPr="00A110D9">
        <w:tab/>
        <w:t>considérant qu’une alimentation saine a une incidence positive sur le risque cardiovasculaire; que, dans de nombreux États membres, les habitudes alimentaires se caractérisent par une consommation excessive de sel, de sucre et de graisses saturées; que des régimes alimentaires équilibrés et sains, tels que les régimes traditionnels méditerranéen et nordique</w:t>
      </w:r>
      <w:r>
        <w:rPr>
          <w:rStyle w:val="FootnoteReference"/>
        </w:rPr>
        <w:footnoteReference w:id="36"/>
      </w:r>
      <w:r w:rsidRPr="00A110D9">
        <w:t>, ainsi que des régimes à base de plantes et certains régimes à base d’aliments biologiques</w:t>
      </w:r>
      <w:r>
        <w:rPr>
          <w:rStyle w:val="FootnoteReference"/>
        </w:rPr>
        <w:footnoteReference w:id="37"/>
      </w:r>
      <w:r w:rsidRPr="00A110D9">
        <w:t xml:space="preserve">, sont associés à un risque nettement plus faible de maladies cardiovasculaires; </w:t>
      </w:r>
    </w:p>
    <w:p w:rsidR="009D2B59" w:rsidRPr="00A110D9" w:rsidP="005764ED" w14:paraId="4B5487EC" w14:textId="77777777">
      <w:pPr>
        <w:pStyle w:val="NormalHanging12a"/>
      </w:pPr>
      <w:r w:rsidRPr="00A110D9">
        <w:t>BG.</w:t>
      </w:r>
      <w:r w:rsidRPr="00A110D9">
        <w:tab/>
        <w:t>considérant que seuls 12 % des Européens mangent cinq portions de fruits et légumes ou plus chaque jour; que cette part est plus faible dans les groupes à faibles revenus (10,8 %) que dans les groupes à revenus plus élevés (14,8 %), ce qui indique un gradient social en ce qui concerne l’accès à des régimes alimentaires sains et leur caractère abordable</w:t>
      </w:r>
      <w:r>
        <w:rPr>
          <w:rStyle w:val="FootnoteReference"/>
        </w:rPr>
        <w:footnoteReference w:id="38"/>
      </w:r>
      <w:r w:rsidRPr="00A110D9">
        <w:t>; que des études scientifiques indépendantes concluent que les régimes alimentaires riches en légumes, en fruits, en céréales complètes, en baies, en légumineuses et en poisson et une consommation raisonnable de viandes rouges et transformées, de sucres ajoutés, de sel excédentaire et d’aliments transformés sont associés à des risques moins élevés de maladies cardiovasculaires, de diabète de type 2 et de mortalité prématurée</w:t>
      </w:r>
      <w:r>
        <w:rPr>
          <w:rStyle w:val="FootnoteReference"/>
        </w:rPr>
        <w:footnoteReference w:id="39"/>
      </w:r>
      <w:r w:rsidRPr="00A110D9">
        <w:t>;</w:t>
      </w:r>
    </w:p>
    <w:p w:rsidR="009D2B59" w:rsidRPr="00A110D9" w:rsidP="005764ED" w14:paraId="04EF583B" w14:textId="77777777">
      <w:pPr>
        <w:pStyle w:val="NormalHanging12a"/>
      </w:pPr>
      <w:r w:rsidRPr="00A110D9">
        <w:t>BH.</w:t>
      </w:r>
      <w:r w:rsidRPr="00A110D9">
        <w:tab/>
        <w:t xml:space="preserve">considérant que l’Union est un acteur mondial de premier plan dans le domaine de la recherche, y compris dans le domaine de la santé; que les obstacles structurels dans l’environnement réglementaire de l’Union ont conduit à ce que ce leadership ne soit pas suffisamment adapté à sa capacité à traduire la recherche en thérapies pratiques; que les thérapies cardiovasculaires ne représentaient que 4 % des essais cliniques lancés entre 2017 et 2022; que le leadership scientifique de l’Union devrait être mis à profit pour </w:t>
      </w:r>
      <w:r w:rsidRPr="00A110D9">
        <w:t xml:space="preserve">lutter contre les maladies cardiovasculaires; que la capacité d’innovation du secteur des sciences de la vie au sein de l’Union doit être soutenue et facilitée; </w:t>
      </w:r>
    </w:p>
    <w:p w:rsidR="009D2B59" w:rsidRPr="00A110D9" w:rsidP="005764ED" w14:paraId="6D188DB2" w14:textId="77777777">
      <w:pPr>
        <w:pStyle w:val="NormalHanging12a"/>
      </w:pPr>
      <w:r w:rsidRPr="00A110D9">
        <w:t>BI.</w:t>
      </w:r>
      <w:r w:rsidRPr="00A110D9">
        <w:tab/>
      </w:r>
      <w:r w:rsidRPr="00A110D9">
        <w:t>considérant</w:t>
      </w:r>
      <w:r w:rsidRPr="00A110D9">
        <w:t xml:space="preserve"> que l’utilisation efficace et équitable des outils de santé numériques, de l’intelligence artificielle et des technologies médicales innovantes dépend de l’habileté numérique adéquate des patients, des professionnels de la santé et de la population au sens large; </w:t>
      </w:r>
    </w:p>
    <w:p w:rsidR="009D2B59" w:rsidRPr="00A110D9" w:rsidP="005764ED" w14:paraId="6200E3B1" w14:textId="77777777">
      <w:pPr>
        <w:pStyle w:val="NormalHanging12a"/>
      </w:pPr>
      <w:r w:rsidRPr="00A110D9">
        <w:t>BJ.</w:t>
      </w:r>
      <w:r w:rsidRPr="00A110D9">
        <w:tab/>
        <w:t xml:space="preserve">considérant que la hausse des températures et l’augmentation de la fréquence des vagues de chaleur devraient avoir des répercussions de plus en plus graves sur la santé cardiovasculaire, en particulier chez les personnes âgées et les personnes souffrant de maladies chroniques, de maladies rares et de handicaps; que la mortalité liée à la chaleur représente la plus grande part des décès liés au climat en Europe, les causes cardiovasculaires représentant une part importante, et que l’interaction entre la chaleur extrême, la sécheresse et la pollution atmosphérique exacerbe encore le risque cardiovasculaire; </w:t>
      </w:r>
    </w:p>
    <w:p w:rsidR="009D2B59" w:rsidRPr="00A110D9" w:rsidP="005764ED" w14:paraId="572BEB38" w14:textId="77777777">
      <w:pPr>
        <w:pStyle w:val="NormalHanging12a"/>
      </w:pPr>
      <w:r w:rsidRPr="00A110D9">
        <w:t>BK.</w:t>
      </w:r>
      <w:r w:rsidRPr="00A110D9">
        <w:tab/>
        <w:t xml:space="preserve">considérant que des événements tels que le changement climatique, les phénomènes météorologiques extrêmes, la pollution atmosphérique, la dégradation de l’environnement, l’exposition aux produits chimiques, les problèmes de sécurité et d’autres facteurs de stress contribuent de manière significative au risque de maladies cardiovasculaires en augmentant les taux de crises cardiaques, d’arythmies et d’autres événements cardiaques et devraient continuer d’influencer les résultats futurs en matière de santé cardiovasculaire; </w:t>
      </w:r>
    </w:p>
    <w:p w:rsidR="009D2B59" w:rsidRPr="00A110D9" w:rsidP="005764ED" w14:paraId="4AEBAF17" w14:textId="77777777">
      <w:pPr>
        <w:pStyle w:val="NormalHanging12a"/>
        <w:ind w:left="0" w:firstLine="0"/>
        <w:rPr>
          <w:b/>
          <w:bCs/>
          <w:i/>
          <w:iCs/>
        </w:rPr>
      </w:pPr>
      <w:r w:rsidRPr="00A110D9">
        <w:rPr>
          <w:b/>
          <w:i/>
        </w:rPr>
        <w:t xml:space="preserve">Domaines d’action </w:t>
      </w:r>
    </w:p>
    <w:p w:rsidR="009D2B59" w:rsidRPr="00A110D9" w:rsidP="005764ED" w14:paraId="4EA8E6D6" w14:textId="77777777">
      <w:pPr>
        <w:pStyle w:val="NormalHanging12a"/>
        <w:rPr>
          <w:i/>
          <w:iCs/>
        </w:rPr>
      </w:pPr>
      <w:r w:rsidRPr="00A110D9">
        <w:rPr>
          <w:i/>
        </w:rPr>
        <w:t>I. Prévention</w:t>
      </w:r>
    </w:p>
    <w:p w:rsidR="009D2B59" w:rsidRPr="00A110D9" w:rsidP="005764ED" w14:paraId="40AC85A5" w14:textId="77777777">
      <w:pPr>
        <w:pStyle w:val="NormalHanging12a"/>
        <w:ind w:left="360" w:hanging="360"/>
      </w:pPr>
      <w:r w:rsidRPr="00A110D9">
        <w:t>1.</w:t>
      </w:r>
      <w:r w:rsidRPr="00A110D9">
        <w:tab/>
        <w:t>réaffirme la nécessité d’appliquer systématiquement l’approche intégrant les questions de santé dans toutes les politiques au niveau de l’Union et au niveau national; demande que les aspects liés à la santé soient inclus dans les analyses d’impact des grandes initiatives législatives de l’Union qui présentent un intérêt pour la santé publique; rappelle que des soins de santé accessibles, rapides, abordables et de qualité sont un droit fondamental et font partie du droit à la santé; souligne que des systèmes de soins de santé efficaces et durables devraient garantir un accès équitable à la prévention, au diagnostic, au traitement et à la réadaptation cardiovasculaires pour tous, quelles que soient leurs circonstances, telles que le genre, le revenu, le statut professionnel, le statut de résident ou le lieu de vie; souligne qu’il s’agit de l’une des stratégies les plus efficaces pour prévenir, détecter et traiter les maladies cardiovasculaires; invite la Commission et les États membres à s’attaquer d’urgence aux inégalités;</w:t>
      </w:r>
    </w:p>
    <w:p w:rsidR="009D2B59" w:rsidRPr="00A110D9" w:rsidP="005764ED" w14:paraId="358FE5FB" w14:textId="77777777">
      <w:pPr>
        <w:pStyle w:val="NormalHanging12a"/>
        <w:ind w:left="360" w:hanging="360"/>
      </w:pPr>
      <w:r w:rsidRPr="00A110D9">
        <w:t>2.</w:t>
      </w:r>
      <w:r w:rsidRPr="00A110D9">
        <w:tab/>
        <w:t xml:space="preserve">souligne qu’une prévention efficace des maladies cardiovasculaires commence dès la petite enfance, se poursuit tout au long de la vie et nécessite une action précoce et </w:t>
      </w:r>
      <w:r w:rsidRPr="00A110D9">
        <w:t>soutenue;</w:t>
      </w:r>
      <w:r w:rsidRPr="00A110D9">
        <w:t xml:space="preserve"> souligne que la lutte contre l’obésité dès le plus jeune âge est essentielle pour réduire le risque de développer des maladies cardiovasculaires plus tard dans la vie; </w:t>
      </w:r>
    </w:p>
    <w:p w:rsidR="009D2B59" w:rsidRPr="00A110D9" w:rsidP="005764ED" w14:paraId="6C769C42" w14:textId="77777777">
      <w:pPr>
        <w:pStyle w:val="NormalHanging12a"/>
        <w:ind w:left="360" w:hanging="360"/>
      </w:pPr>
      <w:r w:rsidRPr="00A110D9">
        <w:t>3.</w:t>
      </w:r>
      <w:r w:rsidRPr="00A110D9">
        <w:tab/>
        <w:t xml:space="preserve">souligne que la réponse de l’Europe face aux maladies cardiovasculaires doit passer de manière décisive d’une approche essentiellement axée sur les soins aigus à une approche intégrée et axée sur la prévention tout au long de la vie, englobant la prévention primaire, secondaire et tertiaire; invite la Commission à adopter un plan de prévention horizontal de </w:t>
      </w:r>
      <w:r w:rsidRPr="00A110D9">
        <w:t>l’Union afin de s’attaquer à tous les facteurs de risque de maladies non transmissibles; souligne que la prévention devrait inclure des parcours de transition pour les maladies cardiaques congénitales, une surveillance des risques cardiovasculaires liés à la grossesse et des stratégies adaptées à l’âge pour les adultes âgés; demande une approche coordonnée de la prévention des maladies cardiovasculaires et de leurs facteurs de risque et comorbidités interconnectés, y compris toutes les principales maladies non transmissibles, compte tenu du chevauchement de leurs voies cliniques; souligne la nécessité de sensibiliser aux comorbidités et de renforcer les évaluations des risques;</w:t>
      </w:r>
    </w:p>
    <w:p w:rsidR="009D2B59" w:rsidRPr="00A110D9" w:rsidP="005764ED" w14:paraId="1D557428" w14:textId="77777777">
      <w:pPr>
        <w:pStyle w:val="NormalHanging12a"/>
        <w:ind w:left="360" w:hanging="360"/>
      </w:pPr>
      <w:r w:rsidRPr="00A110D9">
        <w:t>4.</w:t>
      </w:r>
      <w:r w:rsidRPr="00A110D9">
        <w:tab/>
        <w:t>souligne que, selon les avis scientifiques, investir dans une prévention efficace réduit les coûts des soins de santé à long terme, allège la charge pesant sur le personnel de santé et contribue à prévenir les pénuries de main-</w:t>
      </w:r>
      <w:r w:rsidRPr="00A110D9">
        <w:t>d’œuvre;</w:t>
      </w:r>
      <w:r w:rsidRPr="00A110D9">
        <w:t xml:space="preserve"> </w:t>
      </w:r>
    </w:p>
    <w:p w:rsidR="009D2B59" w:rsidRPr="00A110D9" w:rsidP="005764ED" w14:paraId="7255F6D3" w14:textId="77777777">
      <w:pPr>
        <w:pStyle w:val="NormalHanging12a"/>
        <w:ind w:left="360" w:hanging="360"/>
      </w:pPr>
      <w:r w:rsidRPr="00A110D9">
        <w:t>5.</w:t>
      </w:r>
      <w:r w:rsidRPr="00A110D9">
        <w:tab/>
        <w:t xml:space="preserve">souligne que des niveaux élevés de connaissances en matière de santé et de compréhension des différents facteurs de risque sont essentiels pour réduire l’exposition aux facteurs de risque cardiovasculaires dans l’ensemble de la population et pour améliorer l’implication des patients, leur autogestion et leur observance du traitement; invite les États membres et la Commission à promouvoir des campagnes de sensibilisation afin de renforcer les connaissances en matière de santé et de maladies cardiovasculaires tout au long de la vie, y compris la reconnaissance précoce des symptômes, les compétences de base permettant de sauver des vies et la réponse au niveau communautaire, en reconnaissant que des populations autonomes et informées sont essentielles pour réduire les décès cardiovasculaires évitables; </w:t>
      </w:r>
    </w:p>
    <w:p w:rsidR="009D2B59" w:rsidRPr="00A110D9" w:rsidP="005764ED" w14:paraId="66EAE3C0" w14:textId="77777777">
      <w:pPr>
        <w:pStyle w:val="NormalHanging12a"/>
        <w:ind w:left="360" w:hanging="360"/>
      </w:pPr>
      <w:r w:rsidRPr="00A110D9">
        <w:t>6.</w:t>
      </w:r>
      <w:r w:rsidRPr="00A110D9">
        <w:tab/>
        <w:t>encourage les États membres à mettre en place des mesures pratiques pour soutenir l’observance à long terme, y compris l’optimisation des traitements centrée sur le patient, le suivi coordonné par des équipes pluridisciplinaires et l’utilisation d’outils numériques validés (tels que des rappels et des solutions de suivi</w:t>
      </w:r>
      <w:r w:rsidRPr="00A110D9">
        <w:t>);</w:t>
      </w:r>
      <w:r w:rsidRPr="00A110D9">
        <w:t xml:space="preserve"> </w:t>
      </w:r>
    </w:p>
    <w:p w:rsidR="009D2B59" w:rsidRPr="00A110D9" w:rsidP="005764ED" w14:paraId="5C303A8E" w14:textId="77777777">
      <w:pPr>
        <w:pStyle w:val="NormalHanging12a"/>
        <w:ind w:left="360" w:hanging="360"/>
      </w:pPr>
      <w:r w:rsidRPr="00A110D9">
        <w:t>7.</w:t>
      </w:r>
      <w:r w:rsidRPr="00A110D9">
        <w:tab/>
        <w:t xml:space="preserve">reconnaît que les facteurs psychosociaux et les problèmes de santé mentale, y compris la dépression, le stress chronique et l’anxiété, sont des facteurs de risque cardiovasculaire de plus en plus pertinents, en particulier chez les adolescents et les jeunes </w:t>
      </w:r>
      <w:r w:rsidRPr="00A110D9">
        <w:t>adultes;</w:t>
      </w:r>
      <w:r w:rsidRPr="00A110D9">
        <w:t xml:space="preserve"> demande que les politiques de réadaptation incluent un soutien psychosocial tout au long de la vie; </w:t>
      </w:r>
    </w:p>
    <w:p w:rsidR="009D2B59" w:rsidRPr="00A110D9" w:rsidP="005764ED" w14:paraId="41433273" w14:textId="77777777">
      <w:pPr>
        <w:pStyle w:val="NormalHanging12a"/>
        <w:ind w:left="360" w:hanging="360"/>
      </w:pPr>
      <w:r w:rsidRPr="00A110D9">
        <w:t>8.</w:t>
      </w:r>
      <w:r w:rsidRPr="00A110D9">
        <w:tab/>
        <w:t xml:space="preserve">souligne le rôle central des prestataires de soins primaires et des prestataires communautaires, y compris dans la promotion des connaissances en matière de santé cardiovasculaire, en reconnaissant spécifiquement que les pharmaciens de proximité sont souvent parmi les professionnels de santé les plus accessibles, en particulier dans les régions mal desservies, et que les pharmaciens hospitaliers fournissent une éducation aux patients, un soutien à l’autogestion et des conseils en matière d’observance grâce à des interactions régulières et à faible seuil avec les citoyens; </w:t>
      </w:r>
    </w:p>
    <w:p w:rsidR="009D2B59" w:rsidRPr="00A110D9" w:rsidP="005764ED" w14:paraId="49F34FF3" w14:textId="77777777">
      <w:pPr>
        <w:pStyle w:val="NormalHanging12a"/>
        <w:ind w:left="360" w:hanging="360"/>
      </w:pPr>
      <w:r w:rsidRPr="00A110D9">
        <w:t>9.</w:t>
      </w:r>
      <w:r w:rsidRPr="00A110D9">
        <w:tab/>
        <w:t xml:space="preserve">encourage les États membres à renforcer l’éducation aux premiers secours et la capacité de réaction rapide en cas d’urgence médicale par la formation de base, la sensibilisation et l’échange de bonnes pratiques au niveau de </w:t>
      </w:r>
      <w:r w:rsidRPr="00A110D9">
        <w:t>l’Union;</w:t>
      </w:r>
      <w:r w:rsidRPr="00A110D9">
        <w:t xml:space="preserve"> </w:t>
      </w:r>
    </w:p>
    <w:p w:rsidR="009D2B59" w:rsidRPr="00A110D9" w:rsidP="005764ED" w14:paraId="164F05E1" w14:textId="77777777">
      <w:pPr>
        <w:pStyle w:val="NormalHanging12a"/>
        <w:ind w:left="360" w:hanging="360"/>
      </w:pPr>
      <w:r w:rsidRPr="00A110D9">
        <w:t>10.</w:t>
      </w:r>
      <w:r w:rsidRPr="00A110D9">
        <w:tab/>
        <w:t xml:space="preserve">encourage le recours à des programmes de promotion de la santé, d’éducation, des campagnes de vaccination et d’étiquetage, complétés par l’étiquetage numérique et d’autres outils numériques afin d’améliorer l’information des consommateurs, leur autonomisation et leur protection, soutenus par des conseils fournis dans le cadre de soins de santé primaires, y compris les pharmacies hospitalières et de proximité; estime que ces </w:t>
      </w:r>
      <w:r w:rsidRPr="00A110D9">
        <w:t xml:space="preserve">mesures devraient compléter les politiques de santé publique et un cadre plus large promouvant des environnements alimentaires plus sains, reconnaissant qu’une prévention efficace en matière de santé nécessite de s’attaquer à des facteurs socio-économiques plus larges tout en donnant aux citoyens les moyens de faire des choix éclairés; </w:t>
      </w:r>
    </w:p>
    <w:p w:rsidR="009D2B59" w:rsidRPr="00A110D9" w:rsidP="005764ED" w14:paraId="70A15217" w14:textId="77777777">
      <w:pPr>
        <w:pStyle w:val="NormalHanging12a"/>
        <w:ind w:left="360" w:hanging="360"/>
      </w:pPr>
      <w:r w:rsidRPr="00A110D9">
        <w:t>11.</w:t>
      </w:r>
      <w:r w:rsidRPr="00A110D9">
        <w:tab/>
        <w:t xml:space="preserve">note que les infections virales, y compris les infections respiratoires, sont associées à un risque cardiovasculaire accru; se félicite de l’annonce de la recommandation du Conseil sur la vaccination contre les infections respiratoires en tant que mesure préventive contre les maladies cardiovasculaires et invite la Commission à faire progresser cette recommandation, parallèlement à l’élaboration et à la mise en œuvre de plans nationaux pour la santé cardiovasculaire et en consultation avec les experts scientifiques nationaux et les parties prenantes concernées, afin de garantir la coordination, la cohérence et la complémentarité en temps utile des actions au niveau de l’Union et au niveau national; souligne que la prévention des maladies infectieuses peut contribuer à réduire le risque de maladies cardiovasculaires; souligne l’importance de programmes de vaccination ciblés pour les populations exposées à un risque cardiovasculaire accru; </w:t>
      </w:r>
    </w:p>
    <w:p w:rsidR="009D2B59" w:rsidRPr="00A110D9" w:rsidP="005764ED" w14:paraId="77D735E3" w14:textId="77777777">
      <w:pPr>
        <w:pStyle w:val="NormalHanging12a"/>
        <w:ind w:left="360" w:hanging="360"/>
      </w:pPr>
      <w:r w:rsidRPr="00A110D9">
        <w:t>12.</w:t>
      </w:r>
      <w:r w:rsidRPr="00A110D9">
        <w:tab/>
        <w:t xml:space="preserve">invite le Conseil à adopter des recommandations du Conseil sur une éducation à la santé globale et fondée sur des données probantes dans les écoles, notamment des connaissances en matière de santé cardiovasculaire et une sensibilisation aux facteurs de risque métaboliques, comportementaux, environnementaux et autres liés aux maladies cardiovasculaires, des modes de vie sains, y compris les effets de l’activité physique, la réduction des comportements sédentaires, des régimes alimentaires sains ainsi que la prévention des maladies non transmissibles; invite les États membres à mettre en œuvre ces recommandations et à faire de l’éducation à la santé un élément central de leurs plans nationaux pour la santé cardiovasculaire; </w:t>
      </w:r>
    </w:p>
    <w:p w:rsidR="009D2B59" w:rsidRPr="00A110D9" w:rsidP="005764ED" w14:paraId="163B3749" w14:textId="77777777">
      <w:pPr>
        <w:pStyle w:val="NormalHanging12a"/>
        <w:ind w:left="360" w:hanging="360"/>
      </w:pPr>
      <w:r w:rsidRPr="00A110D9">
        <w:t>13.</w:t>
      </w:r>
      <w:r w:rsidRPr="00A110D9">
        <w:tab/>
        <w:t>souligne que les déterminants sociaux de la santé, y compris la commercialisation de différents produits qui contribuent au développement de maladies cardiaques et de maladies non transmissibles interconnectées, peuvent avoir une influence négative sur les choix des consommateurs et contribuer ainsi au développement des maladies cardiovasculaires; souligne que ces pratiques peuvent compromettre les objectifs de santé publique et avoir une incidence disproportionnée sur les ménages à faibles revenus; réaffirme la nécessité d’une information claire des consommateurs sur les risques associés aux différentes catégories de produits commercialisés; souligne que les jeunes et les enfants sont particulièrement vulnérables et méritent une protection spécifique et adaptée contre la publicité et le marketing ciblés qui sont inappropriés pour eux; invite les États membres à prendre des mesures appropriées pour réduire l’exposition des enfants et des adolescents à la publicité de produits susceptibles de contribuer au développement de maladies cardiaques et de maladies non transmissibles interconnectées, y compris dans l’environnement numérique; invite la Commission à combler les lacunes réglementaires dans la commercialisation de ces produits, y compris le contenu destiné aux utilisateurs sur les plateformes de médias sociaux, les sites web, les plateformes de jeux et les applications, et à évaluer la directive «Services de médias audiovisuels»</w:t>
      </w:r>
      <w:r>
        <w:rPr>
          <w:rStyle w:val="FootnoteReference"/>
        </w:rPr>
        <w:footnoteReference w:id="40"/>
      </w:r>
      <w:r w:rsidRPr="00A110D9">
        <w:t xml:space="preserve"> à cet égard; </w:t>
      </w:r>
    </w:p>
    <w:p w:rsidR="009D2B59" w:rsidRPr="00A110D9" w:rsidP="005764ED" w14:paraId="78C49BB2" w14:textId="77777777">
      <w:pPr>
        <w:pStyle w:val="NormalHanging12a"/>
        <w:ind w:left="360" w:hanging="360"/>
      </w:pPr>
      <w:r w:rsidRPr="00A110D9">
        <w:t>14.</w:t>
      </w:r>
      <w:r w:rsidRPr="00A110D9">
        <w:tab/>
        <w:t xml:space="preserve">souligne que la politique de santé doit être fondée sur des données probantes, s’aligner sur les meilleures données scientifiques disponibles et être exempte d’influence indue; reconnaît qu’une politique de santé et une prévention cardiovasculaire efficaces nécessitent une approche englobant l’ensemble de la société; demande la transparence des processus décisionnels et des activités de lobbying en lien avec la santé cardiovasculaire; rappelle les engagements pris par l’Union, en vertu des traités internationaux pertinents, de protéger l’élaboration des politiques de santé publique face aux intérêts commerciaux et particuliers; rappelle que la Commission et les États membres appliquent des règles en matière de conflits d’intérêts et invite la Commission et les États membres à veiller à la gestion efficace des conflits d’intérêts potentiels au sein des groupes d’experts, des organes consultatifs et des processus d’élaboration des politiques liés à la prévention et aux maladies cardiovasculaires; </w:t>
      </w:r>
    </w:p>
    <w:p w:rsidR="009D2B59" w:rsidRPr="00A110D9" w:rsidP="005764ED" w14:paraId="2995F400" w14:textId="77777777">
      <w:pPr>
        <w:pStyle w:val="NormalHanging12a"/>
        <w:ind w:left="360" w:hanging="360"/>
      </w:pPr>
      <w:r w:rsidRPr="00A110D9">
        <w:t>15.</w:t>
      </w:r>
      <w:r w:rsidRPr="00A110D9">
        <w:tab/>
        <w:t xml:space="preserve">souligne que les allégations de santé fausses et trompeuses, présentées sans contexte adéquat et non étayées par des preuves scientifiques, sur des produits tels que les denrées alimentaires, les cigarettes électroniques et d’autres produits nouveaux et émergents à base de nicotine et de tabac, peuvent influencer les choix des consommateurs et l’efficacité des politiques de prévention; rappelle que la législation de l’Union en vigueur régit l’utilisation des allégations de santé concernant les denrées alimentaires et les boissons; invite les États membres à envisager de nouvelles mesures pour protéger les consommateurs, en particulier les enfants; demande un cadre réglementaire amélioré et fondé sur des données probantes afin de veiller à ce que toute communication aux consommateurs sur des produits susceptibles d’augmenter les facteurs de risque cardiovasculaire soit fondée sur des preuves scientifiques indépendantes, fasse l’objet d’une surveillance appropriée de la part des autorités publiques compétentes et n’induise pas les consommateurs en erreur quant aux risques cardiovasculaires et autres risques pour la santé; prend acte de l’intention de la Commission d’établir des profils nutritionnels afin d’éliminer les allégations nutritionnelles et de santé trompeuses; demande, en outre, l’application pleine et entière de l’interdiction de la distribution gratuite des produits du tabac; </w:t>
      </w:r>
    </w:p>
    <w:p w:rsidR="009D2B59" w:rsidRPr="00A110D9" w:rsidP="005764ED" w14:paraId="78BE730C" w14:textId="77777777">
      <w:pPr>
        <w:pStyle w:val="NormalHanging12a"/>
        <w:ind w:left="360" w:hanging="360"/>
      </w:pPr>
      <w:r w:rsidRPr="00A110D9">
        <w:t>16.</w:t>
      </w:r>
      <w:r w:rsidRPr="00A110D9">
        <w:tab/>
        <w:t>demande que la prochaine révision de la directive sur les pratiques commerciales déloyales</w:t>
      </w:r>
      <w:r>
        <w:rPr>
          <w:rStyle w:val="FootnoteReference"/>
        </w:rPr>
        <w:footnoteReference w:id="41"/>
      </w:r>
      <w:r w:rsidRPr="00A110D9">
        <w:t xml:space="preserve"> aille au-delà de la protection des seuls intérêts économiques des consommateurs et intègre explicitement la protection de la santé des consommateurs, afin de lutter efficacement contre les pratiques commerciales qui nuisent à la santé des </w:t>
      </w:r>
      <w:r w:rsidRPr="00A110D9">
        <w:t>personnes;</w:t>
      </w:r>
      <w:r w:rsidRPr="00A110D9">
        <w:t xml:space="preserve"> </w:t>
      </w:r>
    </w:p>
    <w:p w:rsidR="009D2B59" w:rsidRPr="00A110D9" w:rsidP="005764ED" w14:paraId="3D508567" w14:textId="77777777">
      <w:pPr>
        <w:pStyle w:val="NormalHanging12a"/>
        <w:ind w:left="360" w:hanging="360"/>
      </w:pPr>
      <w:r w:rsidRPr="00A110D9">
        <w:t>17.</w:t>
      </w:r>
      <w:r w:rsidRPr="00A110D9">
        <w:tab/>
        <w:t xml:space="preserve">reconnaît que les maladies cardiovasculaires peuvent être liées au travail ou aggravées par celui-ci, et que l’exposition professionnelle constitue un facteur de risque évitable de morbidité et de mortalité cardiovasculaires dans </w:t>
      </w:r>
      <w:r w:rsidRPr="00A110D9">
        <w:t>l’Union;</w:t>
      </w:r>
      <w:r w:rsidRPr="00A110D9">
        <w:t xml:space="preserve"> invite la Commission et les États membres à améliorer les cadres d’évaluation des risques professionnels pour les risques cardiovasculaires; </w:t>
      </w:r>
    </w:p>
    <w:p w:rsidR="009D2B59" w:rsidRPr="00A110D9" w:rsidP="005764ED" w14:paraId="551A8593" w14:textId="77777777">
      <w:pPr>
        <w:pStyle w:val="NormalHanging12a"/>
        <w:ind w:left="360" w:hanging="360"/>
      </w:pPr>
      <w:r w:rsidRPr="00A110D9">
        <w:t>18.</w:t>
      </w:r>
      <w:r w:rsidRPr="00A110D9">
        <w:tab/>
        <w:t xml:space="preserve">souligne qu’une prévention cardiovasculaire efficace nécessite des environnements sociaux, économiques et physiques plus </w:t>
      </w:r>
      <w:r w:rsidRPr="00A110D9">
        <w:t>sains;</w:t>
      </w:r>
      <w:r w:rsidRPr="00A110D9">
        <w:t xml:space="preserve"> demande des politiques publiques globales portant sur la nutrition, les conditions de travail, l’équilibre entre vie professionnelle et vie privée, les transports, l’activité physique, l’éducation et la protection de l’environnement;</w:t>
      </w:r>
    </w:p>
    <w:p w:rsidR="009D2B59" w:rsidRPr="00A110D9" w:rsidP="005764ED" w14:paraId="75834B57" w14:textId="77777777">
      <w:pPr>
        <w:pStyle w:val="NormalHanging12a"/>
        <w:ind w:left="360" w:hanging="360"/>
        <w:rPr>
          <w:i/>
          <w:iCs/>
        </w:rPr>
      </w:pPr>
      <w:r w:rsidRPr="00A110D9">
        <w:rPr>
          <w:b/>
          <w:smallCaps/>
        </w:rPr>
        <w:t>Facteurs de risque modifiables</w:t>
      </w:r>
    </w:p>
    <w:p w:rsidR="009D2B59" w:rsidRPr="00A110D9" w:rsidP="005764ED" w14:paraId="48EE3ADF" w14:textId="77777777">
      <w:pPr>
        <w:pStyle w:val="NormalHanging12a"/>
        <w:rPr>
          <w:b/>
          <w:bCs/>
        </w:rPr>
      </w:pPr>
      <w:r w:rsidRPr="00A110D9">
        <w:rPr>
          <w:b/>
        </w:rPr>
        <w:t xml:space="preserve">Tabac et tabagisme </w:t>
      </w:r>
    </w:p>
    <w:p w:rsidR="009D2B59" w:rsidRPr="00A110D9" w:rsidP="005764ED" w14:paraId="765556FF" w14:textId="77777777">
      <w:pPr>
        <w:pStyle w:val="NormalHanging12a"/>
      </w:pPr>
      <w:r w:rsidRPr="00A110D9">
        <w:t>19.</w:t>
      </w:r>
      <w:r w:rsidRPr="00A110D9">
        <w:tab/>
        <w:t xml:space="preserve">souligne l’importance de mesures réglementaires fortes, fondées sur des données probantes et appropriées pour limiter l’accessibilité, le caractère abordable, l’utilisation et l’attractivité des différents dispositifs pour fumer et des produits à base de nicotine et de tabac, y compris des produits nouveaux et émergents à base de nicotine et de tabac; note que ces mesures peuvent inclure, le cas échéant, l’interdiction des arômes, qui sont particulièrement attrayants pour les mineurs et les non-fumeurs, des limites relatives à la teneur en nicotine, ainsi que l’application de droits d’accises appropriés et efficaces aux différents produits; rappelle qu’il a été démontré que la nicotine augmente le risque cardiovasculaire; </w:t>
      </w:r>
    </w:p>
    <w:p w:rsidR="009D2B59" w:rsidRPr="00A110D9" w:rsidP="005764ED" w14:paraId="42F77A9C" w14:textId="77777777">
      <w:pPr>
        <w:pStyle w:val="NormalHanging12a"/>
      </w:pPr>
      <w:r w:rsidRPr="00A110D9">
        <w:t>20.</w:t>
      </w:r>
      <w:r w:rsidRPr="00A110D9">
        <w:tab/>
        <w:t>souligne l’augmentation de l’adoption par les non-fumeurs et les femmes de produits nouveaux et émergents à base de nicotine; souligne que les mineurs demeurent particulièrement vulnérables à la consommation de nouveaux produits à base de nicotine, tels que les cigarettes électroniques, les sachets de nicotine ou les produits à base de tabac chauffé, qui sont souvent présentés avec des arômes et des emballages attrayants; souligne la nécessité de renforcer les mesures préventives et éducatives et d’empêcher les mineurs et les adolescents d’accéder aux produits du tabac et de la nicotine, notamment par l’application effective de l’interdiction de vente aux mineurs et le renforcement des contrôles de l’âge au point de vente, y compris des règles uniformes pour les ventes numériques; invite les États membres, à cet égard, à mettre rapidement en œuvre le portefeuille européen d’identité numérique afin d’empêcher les mineurs d’acheter des biens soumis à des restrictions d’âge;</w:t>
      </w:r>
    </w:p>
    <w:p w:rsidR="009D2B59" w:rsidRPr="00A110D9" w:rsidP="005764ED" w14:paraId="2B2783D2" w14:textId="77777777">
      <w:pPr>
        <w:pStyle w:val="NormalHanging12a"/>
      </w:pPr>
      <w:r w:rsidRPr="00A110D9">
        <w:t>21.</w:t>
      </w:r>
      <w:r w:rsidRPr="00A110D9">
        <w:tab/>
        <w:t xml:space="preserve">souligne que les stratégies et les politiques de sevrage tabagique doivent être strictement alignées sur les preuves scientifiques et conçues conformément aux avis indépendants de la communauté </w:t>
      </w:r>
      <w:r w:rsidRPr="00A110D9">
        <w:t>scientifique;</w:t>
      </w:r>
      <w:r w:rsidRPr="00A110D9">
        <w:t xml:space="preserve"> </w:t>
      </w:r>
    </w:p>
    <w:p w:rsidR="009D2B59" w:rsidRPr="00A110D9" w:rsidP="005764ED" w14:paraId="25F8DE44" w14:textId="77777777">
      <w:pPr>
        <w:pStyle w:val="NormalHanging12a"/>
      </w:pPr>
      <w:r w:rsidRPr="00A110D9">
        <w:t>22.</w:t>
      </w:r>
      <w:r w:rsidRPr="00A110D9">
        <w:tab/>
        <w:t xml:space="preserve">souligne que la consommation de nicotine, sous des formes conventionnelles, nouvelles et émergentes, peut augmenter la pression artérielle, augmenter le risque d’arythmie et contribuer à la dysfonction endothéliale et à l’accélération de l’athérosclérose; note que les niveaux de teneur en nicotine et les méthodes d’administration varient d’un produit à l’autre et que les différents produits à base de nicotine peuvent donc présenter des profils de risque différenciés, mais que tous ces produits présentent toujours des risques pour la santé; </w:t>
      </w:r>
    </w:p>
    <w:p w:rsidR="009D2B59" w:rsidRPr="00A110D9" w:rsidP="005764ED" w14:paraId="57739B69" w14:textId="77777777">
      <w:pPr>
        <w:pStyle w:val="NormalHanging12a"/>
      </w:pPr>
      <w:r w:rsidRPr="00A110D9">
        <w:t>23.</w:t>
      </w:r>
      <w:r w:rsidRPr="00A110D9">
        <w:tab/>
        <w:t xml:space="preserve">demande que tous les produits non médicamenteux à base de nicotine, y compris les produits nouveaux et émergents à base de tabac et de nicotine, soient inclus dans le champ d’application de la directive sur les produits du tabac et soient soumis à des règles appropriées en matière de limites d’âge, d’arômes, de teneur en nicotine, d’emballage et de commercialisation, dans le but de garantir la sécurité juridique et des garanties solides, en particulier pour les jeunes; souligne la nécessité de définitions claires, complètes et neutres sur le plan technologique; demande un meilleur alignement </w:t>
      </w:r>
      <w:r w:rsidRPr="00A110D9">
        <w:t xml:space="preserve">sur les principes de la convention-cadre de l’OMS pour la lutte antitabac; </w:t>
      </w:r>
    </w:p>
    <w:p w:rsidR="009D2B59" w:rsidRPr="00A110D9" w:rsidP="005764ED" w14:paraId="091DFAA4" w14:textId="77777777">
      <w:pPr>
        <w:ind w:left="567" w:hanging="567"/>
      </w:pPr>
      <w:r w:rsidRPr="00A110D9">
        <w:t>24.</w:t>
      </w:r>
      <w:r w:rsidRPr="00A110D9">
        <w:tab/>
        <w:t>demande une réglementation claire et efficace de la publicité, de la promotion et du parrainage en faveur des produits du tabac et de la nicotine, y compris des produits du tabac et de la nicotine nouveaux et émergents, dans tous les médias et canaux de communication, y compris les plateformes en ligne et les médias sociaux, ainsi que l’introduction de mesures visant à éliminer les pratiques de marketing indirect et à réduire l’attrait des produits, en particulier auprès des mineurs, dans le respect des compétences nationales; demande instamment que la publicité sur les médias sociaux soit explicitement incluse et couverte dans le champ d’application de la directive sur la publicité et le parrainage en faveur des produits du tabac</w:t>
      </w:r>
      <w:r>
        <w:rPr>
          <w:rStyle w:val="FootnoteReference"/>
        </w:rPr>
        <w:footnoteReference w:id="42"/>
      </w:r>
      <w:r w:rsidRPr="00A110D9">
        <w:t xml:space="preserve">; </w:t>
      </w:r>
    </w:p>
    <w:p w:rsidR="009D2B59" w:rsidRPr="00A110D9" w:rsidP="005764ED" w14:paraId="5E2523D8" w14:textId="77777777">
      <w:pPr>
        <w:ind w:left="567" w:hanging="567"/>
      </w:pPr>
    </w:p>
    <w:p w:rsidR="009D2B59" w:rsidRPr="00A110D9" w:rsidP="005764ED" w14:paraId="51DCED22" w14:textId="77777777">
      <w:pPr>
        <w:pStyle w:val="NormalHanging12a"/>
      </w:pPr>
      <w:r w:rsidRPr="00A110D9">
        <w:t>25.</w:t>
      </w:r>
      <w:r w:rsidRPr="00A110D9">
        <w:tab/>
        <w:t xml:space="preserve">se félicite de l’initiative de la Commission de réviser le cadre législatif relatif à la lutte antitabac, annoncée pour la première fois dans le plan européen pour vaincre le cancer, qui, en synergie avec la stratégie de l’Union en matière de maladies cardiovasculaires, est essentielle pour atteindre les objectifs convenus au niveau de l’Union en matière de politiques de lutte antitabac; invite la Commission à présenter dès que possible un cadre révisé solide, fondé sur des données scientifiques, afin d’atteindre l’objectif d’une génération sans tabac, avec moins de 5 % de la population consommant du tabac d’ici 2040, comme le prévoit le plan européen pour vaincre le cancer; constate avec inquiétude que les taux de tabagisme actuels en Europe risquent de compromettre cet objectif; souligne qu’il est nécessaire que les futures propositions soient étayées par des analyses d’impact appropriées, conformément aux lignes directrices pour une meilleure réglementation; rappelle la prise de conscience croissante de la nécessité de reconsidérer l’efficacité des filtres à cigarettes, étant donné qu’ils peuvent donner une fausse perception de dommages réduits; </w:t>
      </w:r>
    </w:p>
    <w:p w:rsidR="009D2B59" w:rsidRPr="00A110D9" w:rsidP="005764ED" w14:paraId="23821F20" w14:textId="77777777">
      <w:pPr>
        <w:pStyle w:val="NormalHanging12a"/>
      </w:pPr>
      <w:r w:rsidRPr="00A110D9">
        <w:t>26.</w:t>
      </w:r>
      <w:r w:rsidRPr="00A110D9">
        <w:tab/>
        <w:t xml:space="preserve">demande la mise en place d’analyses d’impact sur la santé avant la mise sur le marché de tous les nouveaux produits du tabac ou à base de nicotine, y compris les produits à base de tabac chauffé, les cigarettes électroniques et les sachets de nicotine, le cas échéant, et conformément au droit de </w:t>
      </w:r>
      <w:r w:rsidRPr="00A110D9">
        <w:t>l’Union;</w:t>
      </w:r>
      <w:r w:rsidRPr="00A110D9">
        <w:t xml:space="preserve"> </w:t>
      </w:r>
    </w:p>
    <w:p w:rsidR="009D2B59" w:rsidRPr="00A110D9" w:rsidP="005764ED" w14:paraId="51F0C612" w14:textId="77777777">
      <w:pPr>
        <w:pStyle w:val="NormalHanging12a"/>
      </w:pPr>
      <w:r w:rsidRPr="00A110D9">
        <w:t>27.</w:t>
      </w:r>
      <w:r w:rsidRPr="00A110D9">
        <w:tab/>
        <w:t xml:space="preserve">invite les États membres à appliquer efficacement la législation antitabac couvrant tous les lieux publics et les lieux de travail intérieurs et à poursuivre l’introduction d’une législation antitabac couvrant les espaces extérieurs fréquentés par les enfants, tels que les cours d’école, afin de protéger la population contre l’exposition à la fumée </w:t>
      </w:r>
      <w:r w:rsidRPr="00A110D9">
        <w:t>secondaire;</w:t>
      </w:r>
      <w:r w:rsidRPr="00A110D9">
        <w:t xml:space="preserve"> </w:t>
      </w:r>
    </w:p>
    <w:p w:rsidR="009D2B59" w:rsidRPr="00A110D9" w:rsidP="005764ED" w14:paraId="1CEB8A44" w14:textId="77777777">
      <w:pPr>
        <w:pStyle w:val="NormalHanging12a"/>
      </w:pPr>
      <w:r w:rsidRPr="00A110D9">
        <w:t>28.</w:t>
      </w:r>
      <w:r w:rsidRPr="00A110D9">
        <w:tab/>
        <w:t xml:space="preserve">rappelle que la Commission met en œuvre des règles sur la transparence en matière de lobbying qui s’appliquent également à l’industrie du tabac et que certaines directions générales ont appliqué des modalités supplémentaires lorsqu’elles interagissent avec des représentants de cette industrie; note que la Médiatrice européenne, dans sa décision sur l’affaire OI/6/2021/KR relative à la transparence des interactions de la Commission avec les représentants de l’industrie du tabac, a formulé de nouvelles recommandations visant à garantir la transparence en ce qui concerne la convention-cadre de l’OMS pour </w:t>
      </w:r>
      <w:r w:rsidRPr="00A110D9">
        <w:t xml:space="preserve">la lutte antitabac; </w:t>
      </w:r>
    </w:p>
    <w:p w:rsidR="009D2B59" w:rsidRPr="00A110D9" w:rsidP="005764ED" w14:paraId="1324117F" w14:textId="77777777">
      <w:pPr>
        <w:pStyle w:val="NormalHanging12a"/>
        <w:ind w:left="0" w:firstLine="0"/>
        <w:rPr>
          <w:b/>
          <w:bCs/>
        </w:rPr>
      </w:pPr>
      <w:r w:rsidRPr="00A110D9">
        <w:rPr>
          <w:b/>
        </w:rPr>
        <w:t>Consommation nocive d’alcool, en particulier à des niveaux supérieurs aux recommandations sanitaires scientifiquement établies</w:t>
      </w:r>
      <w:r w:rsidRPr="00A110D9">
        <w:t xml:space="preserve"> </w:t>
      </w:r>
    </w:p>
    <w:p w:rsidR="009D2B59" w:rsidRPr="00A110D9" w:rsidP="005764ED" w14:paraId="69BFF0DA" w14:textId="77777777">
      <w:pPr>
        <w:pStyle w:val="NormalHanging12a"/>
      </w:pPr>
      <w:r w:rsidRPr="00A110D9">
        <w:t>29.</w:t>
      </w:r>
      <w:r w:rsidRPr="00A110D9">
        <w:tab/>
        <w:t>souligne qu’une consommation nocive d’alcool, en particulier à des niveaux supérieurs aux recommandations sanitaires scientifiquement établies, augmente le risque de maladies cardiovasculaires, de cancer et d’autres maladies non transmissibles; souligne qu’elle peut entraîner une augmentation durable de la tension artérielle, qui est un facteur de risque majeur pour les crises cardiaques, les accidents vasculaires cérébraux et d’autres affections cardiovasculaires, et qu’elle est associée à une augmentation des accidents vasculaires cérébraux ischémiques et hémorragiques;</w:t>
      </w:r>
    </w:p>
    <w:p w:rsidR="009D2B59" w:rsidRPr="00A110D9" w:rsidP="005764ED" w14:paraId="0387D27C" w14:textId="77777777">
      <w:pPr>
        <w:pStyle w:val="NormalHanging12a"/>
      </w:pPr>
      <w:r w:rsidRPr="00A110D9">
        <w:t>30.</w:t>
      </w:r>
      <w:r w:rsidRPr="00A110D9">
        <w:tab/>
        <w:t>invite la Commission et les États membres à s’appuyer sur les mesures globales de politique en matière d’alcool définies dans le plan européen pour vaincre le cancer, notamment en révisant la directive concernant l’harmonisation des structures des droits d’accises sur l’alcool et les boissons alcooliques</w:t>
      </w:r>
      <w:r>
        <w:rPr>
          <w:rStyle w:val="FootnoteReference"/>
        </w:rPr>
        <w:footnoteReference w:id="43"/>
      </w:r>
      <w:r w:rsidRPr="00A110D9">
        <w:t>; rappelle que la fiscalité relève avant tout de la compétence nationale; note que les États membres peuvent recourir à diverses mesures politiques dans le cadre de leur politique en matière d’alcool, y compris des mesures fiscales, et souligne que les prélèvements, taxes et droits peuvent servir d’incitations pour influencer le comportement des consommateurs;</w:t>
      </w:r>
    </w:p>
    <w:p w:rsidR="009D2B59" w:rsidRPr="00A110D9" w:rsidP="005764ED" w14:paraId="0CA2991F" w14:textId="77777777">
      <w:pPr>
        <w:pStyle w:val="NormalHanging12a"/>
      </w:pPr>
      <w:r w:rsidRPr="00A110D9">
        <w:t>31.</w:t>
      </w:r>
      <w:r w:rsidRPr="00A110D9">
        <w:tab/>
        <w:t xml:space="preserve">demande que la sensibilisation des consommateurs soit améliorée en leur fournissant des informations nutritionnelles et sanitaires plus précises et de meilleure qualité sur </w:t>
      </w:r>
      <w:r w:rsidRPr="00A110D9">
        <w:t>l’alcool;</w:t>
      </w:r>
      <w:r w:rsidRPr="00A110D9">
        <w:t xml:space="preserve"> prend acte de la proposition de la Commission contenue dans le plan européen pour vaincre le cancer, consistant à introduire l’obligation de mentionner la liste des ingrédients et la déclaration nutritionnelle sur les étiquettes de toutes les boissons alcoolisées; </w:t>
      </w:r>
    </w:p>
    <w:p w:rsidR="009D2B59" w:rsidRPr="00A110D9" w:rsidP="005764ED" w14:paraId="54D8E4F8" w14:textId="77777777">
      <w:pPr>
        <w:pStyle w:val="NormalHanging12a"/>
      </w:pPr>
      <w:r w:rsidRPr="00A110D9">
        <w:t>32.</w:t>
      </w:r>
      <w:r w:rsidRPr="00A110D9">
        <w:tab/>
        <w:t xml:space="preserve">souligne la nécessité d’adopter une approche claire en matière de prévention de la consommation d’alcool et invite les États membres à mettre en œuvre des campagnes d’éducation et de communication sur les risques cardiovasculaires et autres risques pour la santé associés à une consommation nocive d’alcool, en particulier à des niveaux supérieurs aux recommandations scientifiques en matière de santé; encourage l’échange de bonnes pratiques entre les États membres, y compris en ce qui concerne les campagnes de sensibilisation et les services de soutien appropriés, afin de réduire la consommation d’alcool chez les mineurs et de protéger les personnes contre les dommages liés à l’alcool; </w:t>
      </w:r>
    </w:p>
    <w:p w:rsidR="009D2B59" w:rsidRPr="00A110D9" w:rsidP="005764ED" w14:paraId="1FD4EC77" w14:textId="77777777">
      <w:pPr>
        <w:pStyle w:val="NormalHanging12a"/>
      </w:pPr>
      <w:r w:rsidRPr="00A110D9">
        <w:t>33.</w:t>
      </w:r>
      <w:r w:rsidRPr="00A110D9">
        <w:tab/>
        <w:t xml:space="preserve">demande une réglementation efficace du parrainage et de la publicité en faveur de l’alcool dans les contextes où ils pourraient toucher des </w:t>
      </w:r>
      <w:r w:rsidRPr="00A110D9">
        <w:t>mineurs;</w:t>
      </w:r>
      <w:r w:rsidRPr="00A110D9">
        <w:t xml:space="preserve"> </w:t>
      </w:r>
    </w:p>
    <w:p w:rsidR="009D2B59" w:rsidRPr="00A110D9" w:rsidP="005764ED" w14:paraId="46805A10" w14:textId="77777777">
      <w:pPr>
        <w:pStyle w:val="NormalHanging12a"/>
        <w:rPr>
          <w:smallCaps/>
        </w:rPr>
      </w:pPr>
      <w:r w:rsidRPr="00A110D9">
        <w:rPr>
          <w:b/>
        </w:rPr>
        <w:t>Drogues</w:t>
      </w:r>
      <w:r w:rsidRPr="00A110D9">
        <w:rPr>
          <w:smallCaps/>
        </w:rPr>
        <w:t xml:space="preserve"> </w:t>
      </w:r>
    </w:p>
    <w:p w:rsidR="009D2B59" w:rsidRPr="00A110D9" w:rsidP="005764ED" w14:paraId="450BE091" w14:textId="77777777">
      <w:pPr>
        <w:pStyle w:val="NormalHanging12a"/>
      </w:pPr>
      <w:r w:rsidRPr="00A110D9">
        <w:t>34.</w:t>
      </w:r>
      <w:r w:rsidRPr="00A110D9">
        <w:tab/>
        <w:t xml:space="preserve">s’inquiète de l’augmentation de la consommation de drogues dans l’Union et de l’apparition de plus en plus rapide de nouveaux types de drogues; souligne le manque de sensibilisation aux effets néfastes de la consommation de drogues et de la </w:t>
      </w:r>
      <w:r w:rsidRPr="00A110D9">
        <w:t xml:space="preserve">toxicomanie sur le système cardiovasculaire; invite l’Union et les États membres à soutenir et à déployer des campagnes de sensibilisation sur les effets dangereux des drogues et à mieux former les professionnels de la santé aux schémas complexes de la </w:t>
      </w:r>
      <w:r w:rsidRPr="00A110D9">
        <w:t>polyconsommation</w:t>
      </w:r>
      <w:r w:rsidRPr="00A110D9">
        <w:t xml:space="preserve">; invite l’Union et les États membres à mettre en place des politiques transversales ambitieuses pour éliminer la consommation de drogue en Europe; </w:t>
      </w:r>
    </w:p>
    <w:p w:rsidR="009D2B59" w:rsidRPr="00A110D9" w:rsidP="005764ED" w14:paraId="73B302D3" w14:textId="77777777">
      <w:pPr>
        <w:pStyle w:val="NormalHanging12a"/>
      </w:pPr>
      <w:r w:rsidRPr="00A110D9">
        <w:t>35.</w:t>
      </w:r>
      <w:r w:rsidRPr="00A110D9">
        <w:tab/>
        <w:t xml:space="preserve">souligne la nécessité de promouvoir des campagnes de sensibilisation du public sur le risque cardiovasculaire cumulé de l’utilisation simultanée de substances </w:t>
      </w:r>
      <w:r w:rsidRPr="00A110D9">
        <w:t>nocives;</w:t>
      </w:r>
      <w:r w:rsidRPr="00A110D9">
        <w:t xml:space="preserve"> </w:t>
      </w:r>
    </w:p>
    <w:p w:rsidR="009D2B59" w:rsidRPr="00A110D9" w:rsidP="005764ED" w14:paraId="358044ED" w14:textId="77777777">
      <w:pPr>
        <w:pStyle w:val="NormalHanging12a"/>
        <w:rPr>
          <w:b/>
          <w:bCs/>
        </w:rPr>
      </w:pPr>
      <w:bookmarkStart w:id="7" w:name="_Hlk234319013"/>
      <w:r w:rsidRPr="00A110D9">
        <w:rPr>
          <w:b/>
        </w:rPr>
        <w:t>Mauvaises habitudes alimentaires et inactivité physique</w:t>
      </w:r>
    </w:p>
    <w:bookmarkEnd w:id="7"/>
    <w:p w:rsidR="009D2B59" w:rsidRPr="00A110D9" w:rsidP="005764ED" w14:paraId="14E0FDB6" w14:textId="77777777">
      <w:pPr>
        <w:ind w:left="567" w:hanging="567"/>
      </w:pPr>
      <w:r w:rsidRPr="00A110D9">
        <w:t>36.</w:t>
      </w:r>
      <w:r w:rsidRPr="00A110D9">
        <w:tab/>
        <w:t xml:space="preserve">souligne que les modes de vie malsains et les mauvaises habitudes alimentaires contribuent au développement des maladies cardiovasculaires et d’autres maladies non </w:t>
      </w:r>
      <w:r w:rsidRPr="00A110D9">
        <w:t>transmissibles;</w:t>
      </w:r>
      <w:r w:rsidRPr="00A110D9">
        <w:t xml:space="preserve"> souligne l’importance de promouvoir une alimentation équilibrée et l’activité physique;</w:t>
      </w:r>
    </w:p>
    <w:p w:rsidR="009D2B59" w:rsidRPr="00A110D9" w:rsidP="005764ED" w14:paraId="1671D8C8" w14:textId="77777777">
      <w:pPr>
        <w:ind w:left="567" w:hanging="567"/>
      </w:pPr>
    </w:p>
    <w:p w:rsidR="009D2B59" w:rsidRPr="00A110D9" w:rsidP="005764ED" w14:paraId="289623D6" w14:textId="77777777">
      <w:pPr>
        <w:ind w:left="567" w:hanging="567"/>
      </w:pPr>
      <w:r w:rsidRPr="00A110D9">
        <w:t>37.</w:t>
      </w:r>
      <w:r w:rsidRPr="00A110D9">
        <w:tab/>
        <w:t xml:space="preserve">souligne que la surcharge pondérale et l’obésité sont l’un des principaux facteurs de maladies cardiovasculaires et sont des facteurs de risque reconnus pour plusieurs cancers, et que la qualité de l’alimentation est l’un des principaux moteurs de la santé cardiovasculaire; souligne, par conséquent, la nécessité d’une approche globale du système alimentaire dans toutes les politiques pertinentes de l’Union, en vue de réduire systématiquement les environnements alimentaires obésogènes et de promouvoir des comportements alimentaires plus sains; </w:t>
      </w:r>
    </w:p>
    <w:p w:rsidR="009D2B59" w:rsidRPr="00A110D9" w:rsidP="005764ED" w14:paraId="22E97E8B" w14:textId="77777777">
      <w:pPr>
        <w:ind w:left="567" w:hanging="567"/>
      </w:pPr>
    </w:p>
    <w:p w:rsidR="009D2B59" w:rsidRPr="00A110D9" w:rsidP="005764ED" w14:paraId="72A85E01" w14:textId="77777777">
      <w:pPr>
        <w:ind w:left="567" w:hanging="567"/>
      </w:pPr>
      <w:r w:rsidRPr="00A110D9">
        <w:t>38.</w:t>
      </w:r>
      <w:r w:rsidRPr="00A110D9">
        <w:tab/>
        <w:t>demande que l’Union prenne des mesures pour améliorer l’environnement alimentaire, y compris l’étiquetage nutritionnel sur la face avant des emballages, conformément aux recommandations nutritionnelles, et la réglementation des pratiques de commercialisation des aliments préjudiciables pour la santé; se félicite des engagements volontaires de l’industrie, mais souligne qu’ils devraient être complétés par une législation plus cohérente et exécutoire; souligne que ces mesures devraient éviter d’avoir des effets indésirables sur les denrées alimentaires conçues pour répondre à des besoins nutritionnels spécifiques et prend acte des caractéristiques spécifiques des produits protégés par des labels de qualité de l’Union tels que l’appellation d’origine protégée (AOP) ou l’indication géographique protégée (IGP);</w:t>
      </w:r>
    </w:p>
    <w:p w:rsidR="009D2B59" w:rsidRPr="00A110D9" w:rsidP="005764ED" w14:paraId="402B3F74" w14:textId="77777777">
      <w:pPr>
        <w:ind w:left="567" w:hanging="567"/>
      </w:pPr>
    </w:p>
    <w:p w:rsidR="009D2B59" w:rsidRPr="00A110D9" w:rsidP="005764ED" w14:paraId="562E1EFB" w14:textId="77777777">
      <w:pPr>
        <w:ind w:left="567" w:hanging="567"/>
      </w:pPr>
      <w:r w:rsidRPr="00A110D9">
        <w:t>39.</w:t>
      </w:r>
      <w:r w:rsidRPr="00A110D9">
        <w:tab/>
        <w:t xml:space="preserve">demande que l’Union prenne des mesures pour améliorer la sensibilisation des consommateurs et l’accès à l’information sur le lien entre alimentation et santé, notamment grâce à des campagnes éducatives dans les écoles; souligne que la promotion d’un régime alimentaire adéquat, diversifié et équilibré sur le plan nutritionnel, comprenant un large éventail de catégories de nutriments en quantités appropriées et garantissant la disponibilité et l’accessibilité d’une grande variété d’aliments, constitue la pierre angulaire d’une politique efficace en matière de santé publique; souligne que les stratégies de prévention devraient favoriser des choix de consommation et des habitudes alimentaires éclairés, fondés sur des preuves scientifiques solides; soutient en outre le lancement d’initiatives qui encouragent la consommation d’aliments naturels, frais, locaux et de saison, renforcent les chaînes d’approvisionnement courtes et renforcent les liens entre l’agriculture et la santé; souligne que les agriculteurs et leurs organisations devraient être associés à la mise en œuvre de ces initiatives afin de favoriser les liens entre l’agriculture durable, la nutrition et la santé publique;  </w:t>
      </w:r>
    </w:p>
    <w:p w:rsidR="009D2B59" w:rsidRPr="00A110D9" w:rsidP="005764ED" w14:paraId="426754DB" w14:textId="77777777">
      <w:pPr>
        <w:ind w:left="567" w:hanging="567"/>
      </w:pPr>
    </w:p>
    <w:p w:rsidR="009D2B59" w:rsidRPr="00A110D9" w:rsidP="005764ED" w14:paraId="112F2EF4" w14:textId="77777777">
      <w:pPr>
        <w:ind w:left="567" w:hanging="567"/>
      </w:pPr>
      <w:r w:rsidRPr="00A110D9">
        <w:t>40.</w:t>
      </w:r>
      <w:r w:rsidRPr="00A110D9">
        <w:tab/>
        <w:t xml:space="preserve">demande à la Commission de veiller à ce que la révision des directives sur les marchés publics permette aux autorités publiques de fournir des repas plus sains, y compris des denrées alimentaires produites localement et dans le cadre de pratiques durables; demande l’utilisation stratégique des marchés publics de denrées alimentaires afin d’améliorer l’accès équitable à des repas sains dans les structures de garde d’enfants, les écoles, les hôpitaux et les autres institutions publiques; accueille favorablement les orientations techniques du Centre commun de recherche sur la promotion d’options plus saines dans les marchés publics et encourage leur application par les autorités nationales, régionales et locales;   </w:t>
      </w:r>
    </w:p>
    <w:p w:rsidR="009D2B59" w:rsidRPr="00A110D9" w:rsidP="005764ED" w14:paraId="5A28EE80" w14:textId="77777777">
      <w:pPr>
        <w:ind w:left="567" w:hanging="567"/>
      </w:pPr>
    </w:p>
    <w:p w:rsidR="009D2B59" w:rsidRPr="00A110D9" w:rsidP="005764ED" w14:paraId="6F52969D" w14:textId="77777777">
      <w:pPr>
        <w:ind w:left="567" w:hanging="567"/>
      </w:pPr>
      <w:r w:rsidRPr="00A110D9">
        <w:t>41.</w:t>
      </w:r>
      <w:r w:rsidRPr="00A110D9">
        <w:tab/>
        <w:t xml:space="preserve">demande une plus grande cohérence entre les objectifs de l’Union en matière de santé et les politiques agroalimentaires de l’Union afin de garantir que les financements publics soutiennent la production et la consommation d’aliments associés à une réduction du risque </w:t>
      </w:r>
      <w:r w:rsidRPr="00A110D9">
        <w:t>cardiovasculaire;</w:t>
      </w:r>
      <w:r w:rsidRPr="00A110D9">
        <w:t xml:space="preserve"> </w:t>
      </w:r>
    </w:p>
    <w:p w:rsidR="009D2B59" w:rsidRPr="00A110D9" w:rsidP="005764ED" w14:paraId="4E68F760" w14:textId="77777777">
      <w:pPr>
        <w:ind w:left="567" w:hanging="567"/>
      </w:pPr>
    </w:p>
    <w:p w:rsidR="009D2B59" w:rsidRPr="00A110D9" w:rsidP="005764ED" w14:paraId="2BE6FEE9" w14:textId="77777777">
      <w:pPr>
        <w:ind w:left="567" w:hanging="567"/>
      </w:pPr>
      <w:r w:rsidRPr="00A110D9">
        <w:t>42.</w:t>
      </w:r>
      <w:r w:rsidRPr="00A110D9">
        <w:tab/>
        <w:t xml:space="preserve">souligne qu’une prévention efficace des maladies cardiovasculaires et d’autres maladies chroniques doit commencer tôt dans la vie et suivre une approche tout au long de la vie; met en évidence l’augmentation alarmante de l’obésité infantile et des mauvaises habitudes alimentaires; demande la poursuite et un financement suffisant du programme en faveur de la consommation de fruits, de légumes et de lait à l’école («programme de l’UE à destination des écoles»); demande des repas scolaires sains et accessibles et l’introduction de normes de qualité minimales pour les cantines scolaires et publiques; demande de garantir la disponibilité de produits frais, naturels et de saison pour ces cantines, tout en réduisant leur dépendance à l’égard d’aliments riches en matières grasses, en sucre et en sel; demande aux autorités publiques de promouvoir et de financer des habitudes alimentaires saines en toutes circonstances et dès le plus jeune âge, y compris dans les installations sportives et les zones de loisirs; </w:t>
      </w:r>
    </w:p>
    <w:p w:rsidR="009D2B59" w:rsidRPr="00A110D9" w:rsidP="005764ED" w14:paraId="57CDECBC" w14:textId="77777777">
      <w:pPr>
        <w:ind w:left="567" w:hanging="567"/>
      </w:pPr>
    </w:p>
    <w:p w:rsidR="009D2B59" w:rsidRPr="00A110D9" w:rsidP="005764ED" w14:paraId="11FFDC10" w14:textId="77777777">
      <w:pPr>
        <w:ind w:left="567" w:hanging="567"/>
      </w:pPr>
      <w:r w:rsidRPr="00A110D9">
        <w:t>43.</w:t>
      </w:r>
      <w:r w:rsidRPr="00A110D9">
        <w:tab/>
        <w:t>souligne que les pratiques commerciales pour les aliments riches en matières grasses, en sucre et en sel peuvent jouer un rôle dans la définition des habitudes alimentaires des enfants et contribuer ainsi à l’apparition de l’obésité infantile et d’autres maladies chroniques tout au long de la vie; souligne en particulier la nécessité d’améliorer la réglementation de la commercialisation et de la publicité de ces produits auprès des enfants et des adolescents par tous les canaux, y compris les plateformes en ligne, les médias sociaux et le marketing des influenceurs, ainsi qu’en ce qui concerne le ciblage algorithmique et les pratiques commerciales émergentes fondées sur l’IA; souligne la législation existante de l’Union dans ce domaine et se félicite des initiatives en cours, y compris la révision de la directive «Services de médias audiovisuels», comme annoncé dans le plan pour un cœur en bonne santé, et la mise en œuvre du règlement sur les services numériques</w:t>
      </w:r>
      <w:r>
        <w:rPr>
          <w:rStyle w:val="FootnoteReference"/>
        </w:rPr>
        <w:footnoteReference w:id="44"/>
      </w:r>
      <w:r w:rsidRPr="00A110D9">
        <w:t xml:space="preserve">; </w:t>
      </w:r>
    </w:p>
    <w:p w:rsidR="009D2B59" w:rsidRPr="00A110D9" w:rsidP="005764ED" w14:paraId="1FAA1DA4" w14:textId="77777777">
      <w:pPr>
        <w:ind w:left="567" w:hanging="567"/>
      </w:pPr>
    </w:p>
    <w:p w:rsidR="009D2B59" w:rsidRPr="00A110D9" w:rsidP="005764ED" w14:paraId="5C3FEF86" w14:textId="77777777">
      <w:pPr>
        <w:ind w:left="567" w:hanging="567"/>
      </w:pPr>
      <w:r w:rsidRPr="00A110D9">
        <w:t>44.</w:t>
      </w:r>
      <w:r w:rsidRPr="00A110D9">
        <w:tab/>
        <w:t xml:space="preserve">souligne que les régimes alimentaires actuels dans l’Union ne sont pas conformes aux recommandations nutritionnelles, seuls 12 % des Européens consommant cinq portions ou plus de fruits et légumes par jour; considérant que des régimes alimentaires équilibrés et sains, tels que les régimes alimentaires européens traditionnels, y compris </w:t>
      </w:r>
      <w:r w:rsidRPr="00A110D9">
        <w:t>les régimes méditerranéen et nordique</w:t>
      </w:r>
      <w:r>
        <w:rPr>
          <w:rStyle w:val="FootnoteReference"/>
        </w:rPr>
        <w:footnoteReference w:id="45"/>
      </w:r>
      <w:r w:rsidRPr="00A110D9">
        <w:t>, ainsi que les régimes alimentaires à base de plantes et certains régimes alimentaires à base d’aliments biologiques</w:t>
      </w:r>
      <w:r>
        <w:rPr>
          <w:rStyle w:val="FootnoteReference"/>
        </w:rPr>
        <w:footnoteReference w:id="46"/>
      </w:r>
      <w:r w:rsidRPr="00A110D9">
        <w:t xml:space="preserve">, sont associés à un risque nettement plus faible de maladies cardiovasculaires; souligne l’importance de la consommation quotidienne de fruits et légumes et d’une consommation raisonnable de viande rouge et de viande transformée, conformément aux recommandations européennes en matière de santé publique; constate que la consommation de fruits et légumes sous des formes qui préservent les fibres et la valeur nutritionnelle peut favoriser une alimentation saine et équilibrée; </w:t>
      </w:r>
    </w:p>
    <w:p w:rsidR="009D2B59" w:rsidRPr="00A110D9" w:rsidP="005764ED" w14:paraId="1BD4C472" w14:textId="77777777">
      <w:pPr>
        <w:ind w:left="567" w:hanging="567"/>
      </w:pPr>
    </w:p>
    <w:p w:rsidR="009D2B59" w:rsidRPr="00A110D9" w:rsidP="005764ED" w14:paraId="4C80F7F2" w14:textId="77777777">
      <w:pPr>
        <w:pStyle w:val="NormalHanging12a"/>
      </w:pPr>
      <w:r w:rsidRPr="00A110D9">
        <w:t>45.</w:t>
      </w:r>
      <w:r w:rsidRPr="00A110D9">
        <w:tab/>
        <w:t xml:space="preserve">souligne qu’il existe divers obstacles à des choix alimentaires sains; souligne en particulier qu’une action intersectorielle est nécessaire pour créer des environnements alimentaires dans lesquels des aliments plus sains constituent le choix le plus facile et le plus abordable pour les citoyens de l’Union, étant donné que des régimes alimentaires plus sains ont tendance à être plus coûteux que des régimes moins sains et que la tarification affecte de manière disproportionnée les segments de la population à revenus faibles et moyens; souligne la nécessité de lever les obstacles à l’accès à une alimentation saine et nutritive; demande des stratégies adéquates qui rendent plus abordables les produits plus sains; invite les États membres à améliorer le caractère abordable et l’accessibilité des fruits, des légumes, des légumineuses et des céréales complètes, y compris au moyen de mesures réglementaires ciblées et en utilisant pleinement les instruments de financement de l’Union;  </w:t>
      </w:r>
    </w:p>
    <w:p w:rsidR="009D2B59" w:rsidRPr="00A110D9" w:rsidP="005764ED" w14:paraId="0AB4D10A" w14:textId="77777777">
      <w:pPr>
        <w:pStyle w:val="NormalHanging12a"/>
      </w:pPr>
      <w:r w:rsidRPr="00A110D9">
        <w:t>46.</w:t>
      </w:r>
      <w:r w:rsidRPr="00A110D9">
        <w:tab/>
        <w:t xml:space="preserve">souligne que les opérateurs privés devraient s’efforcer d’améliorer la qualité nutritionnelle des produits qu’ils proposent pour la santé des </w:t>
      </w:r>
      <w:r w:rsidRPr="00A110D9">
        <w:t>consommateurs;</w:t>
      </w:r>
      <w:r w:rsidRPr="00A110D9">
        <w:t xml:space="preserve">  </w:t>
      </w:r>
    </w:p>
    <w:p w:rsidR="009D2B59" w:rsidRPr="00A110D9" w:rsidP="005764ED" w14:paraId="55C4231B" w14:textId="77777777">
      <w:pPr>
        <w:pStyle w:val="NormalHanging12a"/>
      </w:pPr>
      <w:r w:rsidRPr="00A110D9">
        <w:t>47.</w:t>
      </w:r>
      <w:r w:rsidRPr="00A110D9">
        <w:tab/>
        <w:t xml:space="preserve">se félicite que le plan pour un cœur en bonne santé fasse référence à une étude de la Commission, en cours d’élaboration, sur les conséquences de la consommation d’«aliments </w:t>
      </w:r>
      <w:r w:rsidRPr="00A110D9">
        <w:t>ultratransformés</w:t>
      </w:r>
      <w:r w:rsidRPr="00A110D9">
        <w:t xml:space="preserve">»; invite la Commission à élaborer et à promouvoir au niveau de l’Union une définition claire, scientifique et harmonisée du terme d’«aliments </w:t>
      </w:r>
      <w:r w:rsidRPr="00A110D9">
        <w:t>ultratransformés</w:t>
      </w:r>
      <w:r w:rsidRPr="00A110D9">
        <w:t xml:space="preserve">», exclusion faite des aliments formulés pour répondre à des besoins nutritionnels spécifiques découlant d’affections diagnostiquées médicalement, d’allergies, d’intolérances graves ou d’autres pathologies, afin de soutenir des politiques nutritionnelles cohérentes et de renforcer les mesures fondées sur des preuves à même de prévenir les maladies cardiovasculaires et les autres maladies non transmissibles; </w:t>
      </w:r>
    </w:p>
    <w:p w:rsidR="009D2B59" w:rsidRPr="00A110D9" w:rsidP="005764ED" w14:paraId="60839EAB" w14:textId="77777777">
      <w:pPr>
        <w:pStyle w:val="NormalHanging12a"/>
      </w:pPr>
      <w:r w:rsidRPr="00A110D9">
        <w:t>48.</w:t>
      </w:r>
      <w:r w:rsidRPr="00A110D9">
        <w:tab/>
        <w:t xml:space="preserve">constate que les techniques de transformation traditionnelles, telles que la fermentation, la mise en conserve, le séchage et le salage, ont joué un rôle important dans la conservation des aliments, et donc le renforcement de la santé et de la sécurité ainsi que, dans de nombreux cas, l’amélioration de la disponibilité de produits agricoles utiles </w:t>
      </w:r>
      <w:r w:rsidRPr="00A110D9">
        <w:t xml:space="preserve">pour des régimes plus </w:t>
      </w:r>
      <w:r w:rsidRPr="00A110D9">
        <w:t>sains;</w:t>
      </w:r>
      <w:r w:rsidRPr="00A110D9">
        <w:t xml:space="preserve"> </w:t>
      </w:r>
    </w:p>
    <w:p w:rsidR="009D2B59" w:rsidRPr="00A110D9" w:rsidP="005764ED" w14:paraId="346AFA7C" w14:textId="77777777">
      <w:pPr>
        <w:pStyle w:val="NormalHanging12a"/>
      </w:pPr>
      <w:r w:rsidRPr="00A110D9">
        <w:t>49.</w:t>
      </w:r>
      <w:r w:rsidRPr="00A110D9">
        <w:tab/>
        <w:t xml:space="preserve">invite la Commission à évaluer les effets des boissons «énergisantes» sur la santé cardiovasculaire, puis à encourager des mesures pertinentes au niveau de l’Union, si les évaluations et les preuves scientifiques le justifient, en particulier pour protéger les enfants et les adolescents; demande à la Commission, si les évaluations et les preuves scientifiques le justifient, d’aider et d’encourager ensuite les États membres à envisager des mesures portant sur la disponibilité des boissons énergisantes dans les environnements principalement utilisés par les mineurs; invite à l’échange de bonnes pratiques au niveau de l’Union; </w:t>
      </w:r>
    </w:p>
    <w:p w:rsidR="009D2B59" w:rsidRPr="00A110D9" w:rsidP="005764ED" w14:paraId="07184443" w14:textId="77777777">
      <w:pPr>
        <w:pStyle w:val="NormalHanging12a"/>
      </w:pPr>
      <w:r w:rsidRPr="00A110D9">
        <w:t>50.</w:t>
      </w:r>
      <w:r w:rsidRPr="00A110D9">
        <w:tab/>
        <w:t xml:space="preserve">souligne l’importance d’interventions intégrées en matière d’urbanisme et de transport visant à réduire les environnements obésogènes, à améliorer l’accès à la mobilité active et à intégrer des objectifs de santé dans les politiques d’aménagement du territoire, de logement et d’infrastructure; souligne que l’urbanisme, grâce notamment à la mise à disposition de nombreux espaces verts et piétonniers et d’un environnement sécurisé pour les piétons et les cyclistes, contribue directement à la prévention des maladies cardiaques; appelle à des investissements publics dans des environnements urbains sains qui favorisent l’activité physique, améliorent la qualité de l’air et réduisent les risques cardiovasculaires; appelle à une coopération intersectorielle renforcée afin de créer des environnements favorables et des politiques harmonisées qui encouragent l’activité physique tout au long de la vie, contribuant ainsi à la fois à la prévention des maladies cardiovasculaires et à l’efficacité de la réadaptation; </w:t>
      </w:r>
    </w:p>
    <w:p w:rsidR="009D2B59" w:rsidRPr="00A110D9" w:rsidP="005764ED" w14:paraId="48FF7051" w14:textId="77777777">
      <w:pPr>
        <w:pStyle w:val="NormalHanging12a"/>
      </w:pPr>
      <w:r w:rsidRPr="00A110D9">
        <w:t>51.</w:t>
      </w:r>
      <w:r w:rsidRPr="00A110D9">
        <w:tab/>
        <w:t>invite les États membres à prendre des mesures ciblées pour promouvoir des habitudes quotidiennes plus saines chez les enfants et les jeunes en augmentant les possibilités d’activité physique et en réduisant les comportements sédentaires, car ces actions contribuent à prévenir les principaux facteurs de risque modifiables des maladies cardiovasculaires, tels que l’inactivité physique, la surcharge pondérale et l’obésité; insiste en outre sur le caractère indispensable de l’éducation et de l’accès à des informations fiables sur l’activité physique pour les personnes de tous âges; demande à la Commission et aux États membres de promouvoir des initiatives telles que des activités sportives pour les personnes âgées dans leur environnement et des cours de sport accessibles, et de veiller à ce que les programmes scolaires prévoient suffisamment de temps pour faire des exercices physiques chaque jour, afin de créer un environnement propice à un mode de vie sain;</w:t>
      </w:r>
    </w:p>
    <w:p w:rsidR="009D2B59" w:rsidRPr="00A110D9" w:rsidP="005764ED" w14:paraId="0A84B330" w14:textId="77777777">
      <w:pPr>
        <w:pStyle w:val="NormalHanging12a"/>
      </w:pPr>
      <w:r w:rsidRPr="00A110D9">
        <w:t>52.</w:t>
      </w:r>
      <w:r w:rsidRPr="00A110D9">
        <w:tab/>
        <w:t xml:space="preserve">invite la Commission et les États membres à faire du secteur sportif un cadre essentiel pour la promotion de l’activité physique et des comportements sains, notamment grâce à des initiatives de sport de masse et en évitant la commercialisation d’aliments riches en matières grasses, en sucres et en sel lors des manifestations </w:t>
      </w:r>
      <w:r w:rsidRPr="00A110D9">
        <w:t>sportives;</w:t>
      </w:r>
      <w:r w:rsidRPr="00A110D9">
        <w:t xml:space="preserve"> </w:t>
      </w:r>
    </w:p>
    <w:p w:rsidR="009D2B59" w:rsidRPr="00A110D9" w:rsidP="005764ED" w14:paraId="1FDAF129" w14:textId="77777777">
      <w:pPr>
        <w:pStyle w:val="NormalHanging12a"/>
        <w:rPr>
          <w:b/>
          <w:bCs/>
          <w:smallCaps/>
        </w:rPr>
      </w:pPr>
      <w:r w:rsidRPr="00A110D9">
        <w:rPr>
          <w:b/>
          <w:smallCaps/>
        </w:rPr>
        <w:t>Déterminants socio-économiques de la santé</w:t>
      </w:r>
    </w:p>
    <w:p w:rsidR="009D2B59" w:rsidRPr="00A110D9" w:rsidP="005764ED" w14:paraId="2D6278A1" w14:textId="77777777">
      <w:pPr>
        <w:pStyle w:val="NormalHanging12a"/>
      </w:pPr>
      <w:r w:rsidRPr="00A110D9">
        <w:t>53.</w:t>
      </w:r>
      <w:r w:rsidRPr="00A110D9">
        <w:tab/>
        <w:t xml:space="preserve">souligne que la santé cardiovasculaire est également une question sociale d’intérêt public et que la persistance des maladies cardiovasculaires dans l’Union, y compris les facteurs de risque qui y contribuent comme le diabète et l’obésité, est étroitement liée à des déterminants socio-économiques tels que les inégalités de revenus, la précarité de l’emploi, les conditions de logement, le niveau d’éducation, le genre et l’exposition environnementale; rappelle que ces déterminants affectent de manière disproportionnée les ménages à faible revenu, les personnes souffrant de maladies chroniques et rares et </w:t>
      </w:r>
      <w:r w:rsidRPr="00A110D9">
        <w:t xml:space="preserve">de handicaps, les travailleurs occupant un emploi précaire, les femmes, les personnes âgées, les enfants et les jeunes, et les personnes appartenant à des communautés marginalisées, et génèrent des risques cardiovasculaires qui se cumulent tout au long de la vie; demande que les politiques de santé cardiovasculaire soient fermement ancrées dans les politiques sociales, de cohésion et d’inclusion de l’Union au sens large et que les personnes les plus exposées aux risques soient suffisamment prises en considération; </w:t>
      </w:r>
    </w:p>
    <w:p w:rsidR="009D2B59" w:rsidRPr="00A110D9" w:rsidP="005764ED" w14:paraId="35BA7DF3" w14:textId="77777777">
      <w:pPr>
        <w:pStyle w:val="NormalHanging12a"/>
      </w:pPr>
      <w:r w:rsidRPr="00A110D9">
        <w:t>54.</w:t>
      </w:r>
      <w:r w:rsidRPr="00A110D9">
        <w:tab/>
        <w:t xml:space="preserve">souligne la nécessité de traiter les déterminants socio-économiques de la santé cardiovasculaire à la fois au niveau national et au niveau de l’Union par la mise en œuvre effective des cadres de l’Union en </w:t>
      </w:r>
      <w:r w:rsidRPr="00A110D9">
        <w:t>vigueur;</w:t>
      </w:r>
      <w:r w:rsidRPr="00A110D9">
        <w:t xml:space="preserve"> </w:t>
      </w:r>
    </w:p>
    <w:p w:rsidR="009D2B59" w:rsidRPr="00A110D9" w:rsidP="005764ED" w14:paraId="4E7E955D" w14:textId="77777777">
      <w:pPr>
        <w:pStyle w:val="NormalHanging12a"/>
      </w:pPr>
      <w:r w:rsidRPr="00A110D9">
        <w:t>55.</w:t>
      </w:r>
      <w:r w:rsidRPr="00A110D9">
        <w:tab/>
        <w:t xml:space="preserve">se félicite du plan pour un cœur en bonne santé et insiste pour que toute stratégie de l’Union en matière cardiovasculaire soit intégrée dans les politiques sociales, environnementales et économiques de l’Union; souligne que la pauvreté et la précarité de l’emploi augmentent considérablement l’exposition à des facteurs de risque cardiovasculaire tels que, notamment, le stress chronique, les mauvaises habitudes alimentaires, la sédentarité, le logement inadéquat et le manque d’accès aux soins préventifs; </w:t>
      </w:r>
    </w:p>
    <w:p w:rsidR="009D2B59" w:rsidRPr="00A110D9" w:rsidP="005764ED" w14:paraId="6934F290" w14:textId="77777777">
      <w:pPr>
        <w:pStyle w:val="NormalHanging12a"/>
      </w:pPr>
      <w:r w:rsidRPr="00A110D9">
        <w:t>56.</w:t>
      </w:r>
      <w:r w:rsidRPr="00A110D9">
        <w:tab/>
        <w:t xml:space="preserve">souligne que la politique de santé devrait tenir compte du point de vue des patients et des aidants informels afin que les décisions prises reflètent leurs expériences vécues et donnent lieu à des politiques qui améliorent de manière significative leur vie quotidienne et leur bien-être à long </w:t>
      </w:r>
      <w:r w:rsidRPr="00A110D9">
        <w:t>terme;</w:t>
      </w:r>
      <w:r w:rsidRPr="00A110D9">
        <w:t xml:space="preserve"> </w:t>
      </w:r>
    </w:p>
    <w:p w:rsidR="009D2B59" w:rsidRPr="00A110D9" w:rsidP="005764ED" w14:paraId="2F4A8017" w14:textId="77777777">
      <w:pPr>
        <w:pStyle w:val="NormalHanging12a"/>
        <w:rPr>
          <w:b/>
          <w:bCs/>
          <w:smallCaps/>
        </w:rPr>
      </w:pPr>
      <w:r w:rsidRPr="00A110D9">
        <w:rPr>
          <w:b/>
          <w:smallCaps/>
        </w:rPr>
        <w:t>Déterminants environnementaux de la santé</w:t>
      </w:r>
    </w:p>
    <w:p w:rsidR="009D2B59" w:rsidRPr="00A110D9" w:rsidP="005764ED" w14:paraId="5820BCE8" w14:textId="77777777">
      <w:pPr>
        <w:pStyle w:val="NormalHanging12a"/>
      </w:pPr>
      <w:r w:rsidRPr="00A110D9">
        <w:t>57.</w:t>
      </w:r>
      <w:r w:rsidRPr="00A110D9">
        <w:tab/>
        <w:t xml:space="preserve">souligne que les déterminants environnementaux, notamment la pollution atmosphérique et sonore, la pollution des sols et des eaux, l’exposition à des températures extrêmes et à des produits chimiques, en particulier pour les personnes qui sont en contact étroit avec les pesticides dans le cadre de leur travail ou dans leur lieu de vie, constituent des facteurs évitables majeurs contribuant aux maladies cardiovasculaires dans l’Union; insiste sur le fait que ces déterminants sont inégalement répartis, d’un point de vue géographique, entre les États membres et en leur sein; fait observer que les vagues de chaleur et autres phénomènes climatiques extrêmes frappent de manière disproportionnée les personnes âgées et les personnes vivant dans des logements mal isolés, ce qui aggrave les risques cardiovasculaires et les inégalités sociales; regrette que la Commission n’ait pas suffisamment reconnu le fait que la réduction de l’exposition aux facteurs environnementaux nocifs doit devenir un pilier central de tout plan de l’Union pour la santé cardiovasculaire qui soit efficace et qu’elle nécessite une action intersectorielle coordonnée allant au-delà du secteur de la santé; souligne que la prévention des maladies cardiovasculaires devrait s’inscrire dans l’approche «Une seule santé», qui reconnaît les interconnexions entre la santé humaine, animale et environnementale;  </w:t>
      </w:r>
    </w:p>
    <w:p w:rsidR="009D2B59" w:rsidRPr="00A110D9" w:rsidP="005764ED" w14:paraId="7AFC0637" w14:textId="77777777">
      <w:pPr>
        <w:pStyle w:val="NormalHanging12a"/>
      </w:pPr>
      <w:r w:rsidRPr="00A110D9">
        <w:t>58.</w:t>
      </w:r>
      <w:r w:rsidRPr="00A110D9">
        <w:tab/>
        <w:t xml:space="preserve">souligne que, si elles peuvent faire évoluer leur mode de vie, les personnes ne peuvent pas protéger leur santé contre la pollution atmosphérique ou </w:t>
      </w:r>
      <w:r w:rsidRPr="00A110D9">
        <w:t>chimique;</w:t>
      </w:r>
      <w:r w:rsidRPr="00A110D9">
        <w:t xml:space="preserve"> demande à la Commission de présenter des actions concrètes relatives à ces déterminants de la santé qui relèvent des compétences de l’Union; </w:t>
      </w:r>
    </w:p>
    <w:p w:rsidR="009D2B59" w:rsidRPr="00A110D9" w:rsidP="005764ED" w14:paraId="31876870" w14:textId="77777777">
      <w:pPr>
        <w:pStyle w:val="NormalHanging12a"/>
      </w:pPr>
      <w:r w:rsidRPr="00A110D9">
        <w:t>59.</w:t>
      </w:r>
      <w:r w:rsidRPr="00A110D9">
        <w:tab/>
        <w:t xml:space="preserve">reconnaît que l’exposition à long terme au bruit ambiant provenant du trafic routier, ferroviaire et aérien est un facteur de risque cardiovasculaire important mais </w:t>
      </w:r>
      <w:r w:rsidRPr="00A110D9">
        <w:t xml:space="preserve">insuffisamment traité; demande le renforcement des politiques du réduction du bruit afin d’abaisser les niveaux de bruit nocifs et de protéger la santé et le bien-être dans l’ensemble de l’Union par l’intermédiaire de la planification urbaine, des réglementations en matière de transports et de l’application de la législation européenne en vigueur; souligne qu’un financement suffisant de solutions fondées sur la nature, qui peuvent être bénéfiques pour la santé, devrait être envisagé dans le cadre de l’approche «Une seule santé»; </w:t>
      </w:r>
    </w:p>
    <w:p w:rsidR="009D2B59" w:rsidRPr="00A110D9" w:rsidP="005764ED" w14:paraId="32BE5F4A" w14:textId="77777777">
      <w:pPr>
        <w:pStyle w:val="NormalHanging12a"/>
      </w:pPr>
      <w:r w:rsidRPr="00A110D9">
        <w:t>60.</w:t>
      </w:r>
      <w:r w:rsidRPr="00A110D9">
        <w:tab/>
        <w:t xml:space="preserve">invite la Commission et les États membres à s’attaquer aux risques sanitaires importants découlant de la pollution de l’air, du sol et de </w:t>
      </w:r>
      <w:r w:rsidRPr="00A110D9">
        <w:t>l’eau;</w:t>
      </w:r>
      <w:r w:rsidRPr="00A110D9">
        <w:t xml:space="preserve"> souligne que le méthane et l’ammoniac contribuent à la pollution atmosphérique nocive, qui est associée à une réduction de la fonction pulmonaire, à une inflammation systémique et à une augmentation de la morbidité et de la mortalité cardiovasculaires;</w:t>
      </w:r>
    </w:p>
    <w:p w:rsidR="009D2B59" w:rsidRPr="00A110D9" w:rsidP="005764ED" w14:paraId="4C5A621D" w14:textId="77777777">
      <w:pPr>
        <w:pStyle w:val="NormalHanging12a"/>
        <w:rPr>
          <w:i/>
          <w:iCs/>
        </w:rPr>
      </w:pPr>
      <w:r w:rsidRPr="00A110D9">
        <w:rPr>
          <w:i/>
        </w:rPr>
        <w:t>II. Dépistage et diagnostic précoces</w:t>
      </w:r>
    </w:p>
    <w:p w:rsidR="009D2B59" w:rsidRPr="00A110D9" w:rsidP="005764ED" w14:paraId="4272D045" w14:textId="77777777">
      <w:pPr>
        <w:pStyle w:val="NormalHanging12a"/>
      </w:pPr>
      <w:r w:rsidRPr="00A110D9">
        <w:t>61.</w:t>
      </w:r>
      <w:r w:rsidRPr="00A110D9">
        <w:tab/>
        <w:t>se félicite de la prochaine recommandation du Conseil sur les bilans de santé pour les maladies cardiovasculaires; souligne que toute orientation de l’Union doit être fondée sur des données probantes, efficace, centrée sur les besoins des patients, des professionnels de la santé et des aidants, ainsi que sur les problèmes qu’ils rencontrent, et assortie d’indices de référence et d’indicateurs précis, et qu’elle doit réduire les inégalités et exclure les pratiques à faible valeur ajoutée; note que cette orientation devrait être stratifiée en fonction du risque et prévoir des parcours d’adressage intégrés depuis les soins primaires jusqu’aux soins secondaires de suivi pour les maladies cardiovasculaires et leurs comorbidités; préconise, en outre, que cette orientation comprenne des recommandations pour la mise en œuvre, y compris la coopération transfrontière active et les modalités d’assurance de la qualité, afin de garantir la couverture effective des populations à risque; demande que la recommandation prévue du Conseil sur les bilans de santé pour les maladies cardiovasculaires soit mise en œuvre dans les États membres, dans le respect de leurs compétences, et insiste sur l’importance de promouvoir l’éducation et la formation des professionnels de la santé en matière de dépistage précoce des maladies cardiovasculaires, compte dûment tenu des spécificités de genre;</w:t>
      </w:r>
    </w:p>
    <w:p w:rsidR="009D2B59" w:rsidRPr="00A110D9" w:rsidP="005764ED" w14:paraId="49ACC9D2" w14:textId="77777777">
      <w:pPr>
        <w:pStyle w:val="NormalHanging12a"/>
      </w:pPr>
      <w:r w:rsidRPr="00A110D9">
        <w:t>62.</w:t>
      </w:r>
      <w:r w:rsidRPr="00A110D9">
        <w:tab/>
        <w:t xml:space="preserve">invite la Commission à garantir aux États membres un soutien financier adéquat pour la mise en œuvre de la recommandation du Conseil sur les bilans de santé pour les maladies </w:t>
      </w:r>
      <w:r w:rsidRPr="00A110D9">
        <w:t>cardiovasculaires;</w:t>
      </w:r>
      <w:r w:rsidRPr="00A110D9">
        <w:t xml:space="preserve"> réclame l’adéquation de ce soutien financier et sa proportionnalité à l’ampleur de la charge que représentent les maladies cardiovasculaires;</w:t>
      </w:r>
    </w:p>
    <w:p w:rsidR="009D2B59" w:rsidRPr="00A110D9" w:rsidP="005764ED" w14:paraId="04C76691" w14:textId="77777777">
      <w:pPr>
        <w:pStyle w:val="NormalHanging12a"/>
      </w:pPr>
      <w:r w:rsidRPr="00A110D9">
        <w:t>63.</w:t>
      </w:r>
      <w:r w:rsidRPr="00A110D9">
        <w:tab/>
        <w:t xml:space="preserve">estime que le dépistage précoce des maladies cardiovasculaires devrait se dérouler suivant une approche intégrée et </w:t>
      </w:r>
      <w:r w:rsidRPr="00A110D9">
        <w:t>transpathologique</w:t>
      </w:r>
      <w:r w:rsidRPr="00A110D9">
        <w:t xml:space="preserve">, consciente des interdépendances entre les pathologies cardiovasculaires et d’autres maladies non transmissibles, ainsi que leurs facteurs de risque communs; souligne que les stratégies de prévention élargie et de dépistage précoce ciblant les maladies cardiovasculaires et les autres maladies non transmissibles peuvent doter les patients d’outils pour mieux comprendre et gérer leur santé, et contribuer à éviter la mortalité prématurée; </w:t>
      </w:r>
    </w:p>
    <w:p w:rsidR="009D2B59" w:rsidRPr="00A110D9" w:rsidP="005764ED" w14:paraId="70B68404" w14:textId="77777777">
      <w:pPr>
        <w:pStyle w:val="NormalHanging12a"/>
      </w:pPr>
      <w:r w:rsidRPr="00A110D9">
        <w:t>64.</w:t>
      </w:r>
      <w:r w:rsidRPr="00A110D9">
        <w:tab/>
        <w:t xml:space="preserve">s’inquiète du nombre d’événements cardiovasculaires mal diagnostiqués et invite les États membres à mieux former les professionnels de la santé aux symptômes possibles, y compris dans les services d’urgence; rappelle qu’il est important pour les systèmes de </w:t>
      </w:r>
      <w:r w:rsidRPr="00A110D9">
        <w:t xml:space="preserve">soins de santé nationaux d’introduire des protocoles normalisés afin de mieux détecter les événements cardiovasculaires; souligne que les infrastructures sanitaires régionales et locales et les hôpitaux doivent prévoir des services spécialisés dans les événements cardiovasculaires et garantir que les patients puissent y accéder rapidement pour éviter les erreurs de diagnostic et obtenir un traitement adéquat; </w:t>
      </w:r>
    </w:p>
    <w:p w:rsidR="009D2B59" w:rsidRPr="00A110D9" w:rsidP="005764ED" w14:paraId="24F38843" w14:textId="77777777">
      <w:pPr>
        <w:pStyle w:val="NormalHanging12a"/>
      </w:pPr>
      <w:r w:rsidRPr="00A110D9">
        <w:t>65.</w:t>
      </w:r>
      <w:r w:rsidRPr="00A110D9">
        <w:tab/>
        <w:t xml:space="preserve">souligne que la prévention et le dépistage précoces devraient donner la priorité à des approches ciblées, fondées sur les risques, étayées par des modèles de prédiction des risques validés lors des soins primaires, y compris par le filtrage, le cas échéant; juge nécessaire de mettre l’accent sur les facteurs de risque que sont la consommation de tabac, la consommation nocive d’alcool, notamment en quantité supérieure aux recommandations sanitaires scientifiquement établies, l’obésité, le manque d’activité physique, l’hypertension, la ménopause, les prédispositions familiales et la dyslipidémie; souligne que les personnes atteintes d’affections telles qu’une maladie rénale chronique, un diabète, une obésité, une pneumopathie obstructive chronique, une stéatose hépatique associée à un dysfonctionnement métabolique ou une anémie chronique, ainsi que les femmes ayant eu des grossesses à issue défavorable, devraient bénéficier d’un dépistage systématique des maladies cardiovasculaires, assorti de parcours d’orientation et de suivi à long terme efficaces; souligne que les maladies cardiovasculaires ne sont souvent détectées qu’à la suite d’événements majeurs tels qu’une crise cardiaque ou un accident vasculaire cérébral; </w:t>
      </w:r>
    </w:p>
    <w:p w:rsidR="009D2B59" w:rsidRPr="00A110D9" w:rsidP="005764ED" w14:paraId="2DBF4117" w14:textId="77777777">
      <w:pPr>
        <w:pStyle w:val="NormalHanging12a"/>
      </w:pPr>
      <w:r w:rsidRPr="00A110D9">
        <w:t>66.</w:t>
      </w:r>
      <w:r w:rsidRPr="00A110D9">
        <w:tab/>
        <w:t xml:space="preserve">souligne que le dépistage précoce est souvent négligé, en particulier chez les populations des zones sous-dotées et à haut </w:t>
      </w:r>
      <w:r w:rsidRPr="00A110D9">
        <w:t>risque;</w:t>
      </w:r>
      <w:r w:rsidRPr="00A110D9">
        <w:t xml:space="preserve"> demande aux États membres de garantir un accès équitable au diagnostic, en accordant une attention particulière aux zones sous-dotées et aux femmes; </w:t>
      </w:r>
    </w:p>
    <w:p w:rsidR="009D2B59" w:rsidRPr="00A110D9" w:rsidP="005764ED" w14:paraId="1D30E587" w14:textId="77777777">
      <w:pPr>
        <w:pStyle w:val="NormalHanging12a"/>
      </w:pPr>
      <w:r w:rsidRPr="00A110D9">
        <w:t>67.</w:t>
      </w:r>
      <w:r w:rsidRPr="00A110D9">
        <w:tab/>
        <w:t xml:space="preserve">souligne le rôle essentiel de la prévention secondaire pour les personnes ayant vécu un événement cardiovasculaire, notamment en matière de gestion systématique des facteurs de risque, d’adhésion thérapeutique, d’accompagnement portant sur le mode de vie et le bien-être mental et de suivi clinique régulier, afin de réduire le risque de </w:t>
      </w:r>
      <w:r w:rsidRPr="00A110D9">
        <w:t>récidive;</w:t>
      </w:r>
      <w:r w:rsidRPr="00A110D9">
        <w:t xml:space="preserve"> </w:t>
      </w:r>
    </w:p>
    <w:p w:rsidR="009D2B59" w:rsidRPr="00A110D9" w:rsidP="005764ED" w14:paraId="77E21B2B" w14:textId="77777777">
      <w:pPr>
        <w:pStyle w:val="NormalHanging12a"/>
      </w:pPr>
      <w:r w:rsidRPr="00A110D9">
        <w:t>68.</w:t>
      </w:r>
      <w:r w:rsidRPr="00A110D9">
        <w:tab/>
        <w:t xml:space="preserve">insiste sur le fait que les maladies cardiovasculaires héréditaires, génétiques et congénitales, notamment les cardiomyopathies, les </w:t>
      </w:r>
      <w:r w:rsidRPr="00A110D9">
        <w:t>canalopathies</w:t>
      </w:r>
      <w:r w:rsidRPr="00A110D9">
        <w:t xml:space="preserve">, l’hypercholestérolémie familiale, les diabètes de type I, les </w:t>
      </w:r>
      <w:r w:rsidRPr="00A110D9">
        <w:t>aortopathies</w:t>
      </w:r>
      <w:r w:rsidRPr="00A110D9">
        <w:t>, les affections du tissu conjonctif et les pathologies cardiaques congénitales, sont largement sous-diagnostiquées dans l’Union; souligne que les dyslipidémies, telles que l’hypercholestérolémie, l’</w:t>
      </w:r>
      <w:r w:rsidRPr="00A110D9">
        <w:t>hyperlipoprotéinémie</w:t>
      </w:r>
      <w:r w:rsidRPr="00A110D9">
        <w:t xml:space="preserve"> (a) et l’hyperglycémie familiales, contribuent de manière substantielle au risque cardiovasculaire; demande aux États membres de garantir un accès équitable au diagnostic et à encourager le dépistage précoce des maladies génétiques chez les enfants d’âge scolaire, dès lors qu’il existe des preuves scientifiques claires de son intérêt clinique, dans le plein respect des principes éthiques, du consentement éclairé et des exigences en matière de protection des données; insiste sur la nécessité de proposer un dépistage familial dès lors qu’une maladie cardiovasculaire à prédisposition génétique est diagnostiquée; </w:t>
      </w:r>
    </w:p>
    <w:p w:rsidR="009D2B59" w:rsidRPr="00A110D9" w:rsidP="005764ED" w14:paraId="38394A7D" w14:textId="77777777">
      <w:pPr>
        <w:pStyle w:val="NormalHanging12a"/>
      </w:pPr>
      <w:r w:rsidRPr="00A110D9">
        <w:t>69.</w:t>
      </w:r>
      <w:r w:rsidRPr="00A110D9">
        <w:tab/>
        <w:t xml:space="preserve">préconise que la recommandation prévue du Conseil sur les bilans de santé pour les maladies cardiovasculaires comprenne des orientations précises sur des évaluations exhaustives du risque cardiovasculaire et sur la réalisation de bilans de santé à un âge approprié pour les personnes présentant au moins un facteur de risque, y compris celles présentant des antécédents familiaux de maladie cardiovasculaire précoce; souhaite </w:t>
      </w:r>
      <w:r w:rsidRPr="00A110D9">
        <w:t xml:space="preserve">également que des orientations précises soient formulées sur le suivi systématique des personnes présentant des résultats élevés ou anormaux, y compris sur les parcours de soins intégrés; </w:t>
      </w:r>
    </w:p>
    <w:p w:rsidR="009D2B59" w:rsidRPr="00A110D9" w:rsidP="005764ED" w14:paraId="08EB7FA5" w14:textId="77777777">
      <w:pPr>
        <w:pStyle w:val="NormalHanging12a"/>
      </w:pPr>
      <w:r w:rsidRPr="00A110D9">
        <w:t>70.</w:t>
      </w:r>
      <w:r w:rsidRPr="00A110D9">
        <w:tab/>
        <w:t xml:space="preserve">souligne que les personnes présentant plusieurs facteurs modifiables de risque cardiovasculaire devraient se voir proposer un soutien complet et accessible pour modifier leur mode de vie, avec l’aide de spécialistes en médecine comportementale ou de professionnels de santé équivalents dûment </w:t>
      </w:r>
      <w:r w:rsidRPr="00A110D9">
        <w:t>formés;</w:t>
      </w:r>
      <w:r w:rsidRPr="00A110D9">
        <w:t xml:space="preserve"> </w:t>
      </w:r>
    </w:p>
    <w:p w:rsidR="009D2B59" w:rsidRPr="00A110D9" w:rsidP="005764ED" w14:paraId="4D8C9570" w14:textId="77777777">
      <w:pPr>
        <w:pStyle w:val="NormalHanging12a"/>
        <w:rPr>
          <w:i/>
          <w:iCs/>
        </w:rPr>
      </w:pPr>
      <w:r w:rsidRPr="00A110D9">
        <w:rPr>
          <w:i/>
        </w:rPr>
        <w:t>III. Traitement, soins et réadaptation</w:t>
      </w:r>
    </w:p>
    <w:p w:rsidR="009D2B59" w:rsidRPr="00A110D9" w:rsidP="005764ED" w14:paraId="254DC1E1" w14:textId="77777777">
      <w:pPr>
        <w:pStyle w:val="NormalHanging12a"/>
      </w:pPr>
      <w:r w:rsidRPr="00A110D9">
        <w:t>71.</w:t>
      </w:r>
      <w:r w:rsidRPr="00A110D9">
        <w:tab/>
        <w:t xml:space="preserve">souligne que les personnes atteintes de maladies cardiovasculaires doivent avoir accès en temps utile et tout au long de leur parcours thérapeutique à des soins abordables, intégrés, de haute qualité et fondés sur des données probantes et des lignes directrices, qui incluent le contrôle de leur traitement et une aide à l’adhésion thérapeutique, ainsi que des diagnostics et des thérapies adaptés, quel que soit leur lieu de résidence; recommande la prudence dans l’éventuel recours aux cadres de gestion du traitement axés sur les objectifs, afin d’éviter les soins à faible valeur ajoutée et de garantir une approche centrée sur la personne et fondée sur les risques, conformément aux orientations de l’OMS; attire l’attention sur le fait que la rééducation cardiaque, la réadaptation professionnelle, les soins nutritionnels intégrés, la rééducation physique et la réinsertion sociale font partie intégrante de soins cardiovasculaires efficaces; constate que, dans plusieurs États membres, l’accès aux services de réadaptation reste limité et insiste sur la nécessité de garantir l’accès universel à ces services; insiste sur la nécessité de centres de réadaptation spécialisés pour les différents groupes d’âge; </w:t>
      </w:r>
    </w:p>
    <w:p w:rsidR="009D2B59" w:rsidRPr="00A110D9" w:rsidP="005764ED" w14:paraId="3313A690" w14:textId="77777777">
      <w:pPr>
        <w:pStyle w:val="NormalHanging12a"/>
      </w:pPr>
      <w:r w:rsidRPr="00A110D9">
        <w:t>72.</w:t>
      </w:r>
      <w:r w:rsidRPr="00A110D9">
        <w:tab/>
        <w:t xml:space="preserve">se félicite du projet de recommandation du Conseil sur le traitement et le suivi personnalisés des maladies cardiovasculaires, qui améliorera la qualité et la cohérence des parcours de soins personnalisés et </w:t>
      </w:r>
      <w:r w:rsidRPr="00A110D9">
        <w:t>intégrés;</w:t>
      </w:r>
      <w:r w:rsidRPr="00A110D9">
        <w:t xml:space="preserve"> </w:t>
      </w:r>
    </w:p>
    <w:p w:rsidR="009D2B59" w:rsidRPr="00A110D9" w:rsidP="005764ED" w14:paraId="13E9A347" w14:textId="77777777">
      <w:pPr>
        <w:pStyle w:val="NormalHanging12a"/>
      </w:pPr>
      <w:r w:rsidRPr="00A110D9">
        <w:t>73.</w:t>
      </w:r>
      <w:r w:rsidRPr="00A110D9">
        <w:tab/>
        <w:t xml:space="preserve">invite les États membres à créer des protocoles nationaux complets et standardisés en matière de soins cardiovasculaires pour les parcours de long terme, intégrant des modèles axés sur des équipes multidisciplinaires traitant plusieurs maladies, afin de permettre une gestion proactive des maladies non transmissibles interdépendantes, d’assurer des transitions fluides entre les différents soins de santé et de dispenser des soins véritablement centrés sur le patient suivant le continuum des risques cardiovasculaires, du diagnostic à la réadaptation en passant par le traitement; souligne que ces parcours sont essentiels pour assurer la continuité des soins, réduire les complications évitables et les </w:t>
      </w:r>
      <w:r w:rsidRPr="00A110D9">
        <w:t>réhospitalisations</w:t>
      </w:r>
      <w:r w:rsidRPr="00A110D9">
        <w:t xml:space="preserve">, et améliorer les résultats à long terme pour les personnes atteintes de maladies cardiovasculaires; souligne la nécessité de poursuivre la rationalisation des parcours de soins dans le domaine de la santé reproductive et maternelle et des services liés aux maladies cardiovasculaires; demande que les États membres et les autorités locales et régionales soient aidés à élargir l’accès aux services de réadaptation multidisciplinaires; </w:t>
      </w:r>
    </w:p>
    <w:p w:rsidR="009D2B59" w:rsidRPr="00A110D9" w:rsidP="005764ED" w14:paraId="0529A0C8" w14:textId="77777777">
      <w:pPr>
        <w:pStyle w:val="NormalHanging12a"/>
      </w:pPr>
      <w:r w:rsidRPr="00A110D9">
        <w:t>74.</w:t>
      </w:r>
      <w:r w:rsidRPr="00A110D9">
        <w:tab/>
        <w:t xml:space="preserve">souligne la nécessité d’intégrer les dernières données scientifiques dans les soins et les </w:t>
      </w:r>
      <w:r w:rsidRPr="00A110D9">
        <w:t>traitements;</w:t>
      </w:r>
      <w:r w:rsidRPr="00A110D9">
        <w:t xml:space="preserve"> invite les États membres à intégrer aux stratégies de soins de santé les traitements innovants et de haute qualité et à rendre ces traitements plus accessibles;</w:t>
      </w:r>
    </w:p>
    <w:p w:rsidR="009D2B59" w:rsidRPr="00A110D9" w:rsidP="005764ED" w14:paraId="2909BECC" w14:textId="77777777">
      <w:pPr>
        <w:pStyle w:val="NormalHanging12a"/>
      </w:pPr>
      <w:r w:rsidRPr="00A110D9">
        <w:t>75.</w:t>
      </w:r>
      <w:r w:rsidRPr="00A110D9">
        <w:tab/>
        <w:t xml:space="preserve">invite la Commission et les États membres à soutenir un déploiement et un accès plus larges aux programmes de formation et de sensibilisation du public à la réanimation </w:t>
      </w:r>
      <w:r w:rsidRPr="00A110D9">
        <w:t xml:space="preserve">cardiopulmonaire, y compris pour les enfants et les jeunes, en tant que composante essentielle de l’amélioration de la préparation et de la réaction en situation d’urgence aux maladies cardiovasculaires; invite l’Union à renforcer son soutien en faveur de l’amélioration de la survie après un arrêt cardiaque hors milieu hospitalier, notamment en rendant obligatoire la formation à la réanimation cardiopulmonaire et à l’utilisation d’un défibrillateur externe automatisé dans les établissements scolaires et sur les lieux de travail; demande aux États membres de renforcer les politiques qui visent à garantir un déploiement large de défibrillateurs externes automatisés visibles et accessibles 24 heures sur 24 et 7 jours sur 7 dans des espaces publics et des lieux très fréquentés; préconise que des systèmes nationaux de cartographie et d’entretien des défibrillateurs externes automatisés soient mis en place et que des données relatives à l’emplacement des défibrillateurs externes automatisés soient intégrées aux systèmes d’orientation des appels d’urgence; </w:t>
      </w:r>
    </w:p>
    <w:p w:rsidR="009D2B59" w:rsidRPr="00A110D9" w:rsidP="005764ED" w14:paraId="75E95D0A" w14:textId="77777777">
      <w:pPr>
        <w:pStyle w:val="NormalHanging12a"/>
      </w:pPr>
      <w:r w:rsidRPr="00A110D9">
        <w:t>76.</w:t>
      </w:r>
      <w:r w:rsidRPr="00A110D9">
        <w:tab/>
        <w:t xml:space="preserve">appelle de ses vœux le renforcement d’un système européen transfrontière d’information sur les transplantations, en particulier pour les maladies cardiovasculaires rares et </w:t>
      </w:r>
      <w:r w:rsidRPr="00A110D9">
        <w:t>congénitales;</w:t>
      </w:r>
      <w:r w:rsidRPr="00A110D9">
        <w:t xml:space="preserve"> </w:t>
      </w:r>
    </w:p>
    <w:p w:rsidR="009D2B59" w:rsidRPr="00A110D9" w:rsidP="005764ED" w14:paraId="14A34D09" w14:textId="77777777">
      <w:pPr>
        <w:pStyle w:val="NormalHanging12a"/>
      </w:pPr>
      <w:r w:rsidRPr="00A110D9">
        <w:t>77.</w:t>
      </w:r>
      <w:r w:rsidRPr="00A110D9">
        <w:tab/>
        <w:t xml:space="preserve">préconise la création d’un réseau européen de centres d’excellence cardiovasculaires, comprenant les unités spécialisées dans les accidents vasculaires cérébraux et les maladies cardiaques, faisant office d’établissements multidisciplinaires spécialisés dans le cadre de la directive relative aux soins de santé transfrontaliers; réclame que ces centres servent de pôles nationaux et régionaux destinés à améliorer l’accès à des soins multidisciplinaires de haute qualité, à réduire les délais d’accès aux traitements et à renforcer les capacités hospitalières; insiste sur leur rôle potentiel dans la promotion des normes et bonnes pratiques communes, la facilitation de l’accès aux essais cliniques et l’optimisation des explorations cliniques; insiste sur leur contribution potentielle à la mise en œuvre de parcours de soins complets et centrés sur le patient et à la transposition des résultats de la recherche dans la pratique grâce à une collaboration entre plusieurs parties prenantes, y compris dans le cadre de partenariats public-privé; </w:t>
      </w:r>
    </w:p>
    <w:p w:rsidR="009D2B59" w:rsidRPr="00A110D9" w:rsidP="005764ED" w14:paraId="57CF043F" w14:textId="77777777">
      <w:pPr>
        <w:pStyle w:val="NormalHanging12a"/>
      </w:pPr>
      <w:r w:rsidRPr="00A110D9">
        <w:t>78.</w:t>
      </w:r>
      <w:r w:rsidRPr="00A110D9">
        <w:tab/>
        <w:t xml:space="preserve">souligne l’importance de faire du soutien en matière de santé mentale une composante de la réadaptation physique et psychologique destinée aux patients atteints de maladies cardiovasculaires chroniques et à ceux qui sont en convalescence après un événement cardiovasculaire </w:t>
      </w:r>
      <w:r w:rsidRPr="00A110D9">
        <w:t>grave;</w:t>
      </w:r>
      <w:r w:rsidRPr="00A110D9">
        <w:t xml:space="preserve"> </w:t>
      </w:r>
    </w:p>
    <w:p w:rsidR="009D2B59" w:rsidRPr="00A110D9" w:rsidP="005764ED" w14:paraId="3BE2C4A5" w14:textId="77777777">
      <w:pPr>
        <w:pStyle w:val="NormalHanging12a"/>
      </w:pPr>
      <w:r w:rsidRPr="00A110D9">
        <w:t>79.</w:t>
      </w:r>
      <w:r w:rsidRPr="00A110D9">
        <w:tab/>
        <w:t xml:space="preserve">souligne que la disponibilité permanente de médicaments et de dispositifs médicaux sûrs, efficaces et abordables pour traiter les maladies cardiovasculaires est une condition préalable à la continuité des soins et à l’obtention de bons résultats en matière de santé; souligne que l’inégalité d’accès aux médicaments cardiovasculaires essentiels reste un obstacle majeur à l’efficacité des traitements et de la prévention secondaire; demande que des mesures soient prises au niveau de l’Union, dans le cadre de ses compétences actuelles, pour favoriser l’accessibilité financière, la disponibilité et la sécurité de l’approvisionnement, et souligne l’importance du futur règlement sur les médicaments </w:t>
      </w:r>
      <w:r w:rsidRPr="00A110D9">
        <w:t>critiques</w:t>
      </w:r>
      <w:r>
        <w:rPr>
          <w:rStyle w:val="FootnoteReference"/>
        </w:rPr>
        <w:footnoteReference w:id="47"/>
      </w:r>
      <w:r w:rsidRPr="00A110D9">
        <w:t xml:space="preserve"> pour traiter ces questions; </w:t>
      </w:r>
    </w:p>
    <w:p w:rsidR="009D2B59" w:rsidRPr="00A110D9" w:rsidP="005764ED" w14:paraId="059ECD08" w14:textId="77777777">
      <w:pPr>
        <w:pStyle w:val="NormalHanging12a"/>
      </w:pPr>
      <w:r w:rsidRPr="00A110D9">
        <w:t>80.</w:t>
      </w:r>
      <w:r w:rsidRPr="00A110D9">
        <w:tab/>
        <w:t xml:space="preserve">souligne que le retard ou l’absence de traitement des cardiopathies structurelles altère considérablement la qualité de vie et accélère le déclin fonctionnel, la fragilité et la perte d’autonomie chez les personnes </w:t>
      </w:r>
      <w:r w:rsidRPr="00A110D9">
        <w:t>âgées;</w:t>
      </w:r>
      <w:r w:rsidRPr="00A110D9">
        <w:t xml:space="preserve"> souligne que le diagnostic et l’accès à un traitement approprié en temps utile sont essentiels pour préserver l’autonomie, réduire le nombre d’hospitalisations évitables et favoriser un vieillissement actif et en bonne santé; </w:t>
      </w:r>
    </w:p>
    <w:p w:rsidR="009D2B59" w:rsidRPr="00A110D9" w:rsidP="005764ED" w14:paraId="382C4C47" w14:textId="77777777">
      <w:pPr>
        <w:pStyle w:val="NormalHanging12a"/>
      </w:pPr>
      <w:r w:rsidRPr="00A110D9">
        <w:t>81.</w:t>
      </w:r>
      <w:r w:rsidRPr="00A110D9">
        <w:tab/>
        <w:t xml:space="preserve">souligne la menace croissante que représente la pénurie de personnel de santé dans les États membres et relève que les inégalités de répartition des médecins généralistes, en particulier dans les zones rurales et défavorisées, limitent l’accès à la prévention et au dépistage précoce des maladies cardiovasculaires; demande que des mesures soient prises pour rendre les carrières dans le domaine de la santé plus attrayantes, ce qui pourrait inclure l’amélioration des conditions de travail, des salaires, de la formation, des mesures de fidélisation et des soins dispensés par des équipes pluridisciplinaires, le tout s’appuyant sur des soins de santé primaires performants; souligne l’importance de la technologie et des outils numériques pour gagner en efficacité grâce à la réduction des surcharges de travail et de la charge administrative et rendre les carrières dans le domaine de la santé plus attrayantes; invite la Commission et les États membres à renforcer les mécanismes d’aide visant à fidéliser le personnel spécialisé dans la médecine cardiovasculaire et à inverser ses dynamiques de mobilité dans les zones touchées par des pénuries chroniques, notamment au moyen d’incitations ciblées et d’investissements en faveur de bonnes conditions de travail, de la formation continue et de parcours professionnels attrayants; </w:t>
      </w:r>
    </w:p>
    <w:p w:rsidR="009D2B59" w:rsidRPr="00A110D9" w:rsidP="005764ED" w14:paraId="16770541" w14:textId="77777777">
      <w:pPr>
        <w:pStyle w:val="NormalHanging12a"/>
      </w:pPr>
      <w:r w:rsidRPr="00A110D9">
        <w:t>82.</w:t>
      </w:r>
      <w:r w:rsidRPr="00A110D9">
        <w:tab/>
        <w:t xml:space="preserve">souligne l’importance de garantir un accès équitable et en temps utile aux soins palliatifs pour les personnes atteintes d’une maladie cardiovasculaire à un stade </w:t>
      </w:r>
      <w:r w:rsidRPr="00A110D9">
        <w:t>avancé;</w:t>
      </w:r>
      <w:r w:rsidRPr="00A110D9">
        <w:t xml:space="preserve"> appelle à une formation adéquate des professionnels de la santé aux principes des soins palliatifs afin de défendre la dignité, la qualité de vie et les soins centrés sur la personne et tenant compte de la dimension de genre tout au long de la vie;  </w:t>
      </w:r>
    </w:p>
    <w:p w:rsidR="009D2B59" w:rsidRPr="00A110D9" w:rsidP="005764ED" w14:paraId="6F1150B3" w14:textId="77777777">
      <w:pPr>
        <w:pStyle w:val="NormalHanging12a"/>
      </w:pPr>
      <w:r w:rsidRPr="00A110D9">
        <w:t>83.</w:t>
      </w:r>
      <w:r w:rsidRPr="00A110D9">
        <w:tab/>
        <w:t xml:space="preserve">souligne que les maladies cardiovasculaires sont à l’origine de handicaps importants qui pèsent sur la situation professionnelle et la qualité de vie des patients et de leurs aidants informels, ainsi que sur la capacité des patients à vivre de manière autonome; invite les États membres à élaborer des stratégies en matière de soins qui prévoient des mesures de réintégration sur le lieu de travail, ainsi qu’un soutien psychosocial et un soutien par les pairs pour les patients et leurs familles; </w:t>
      </w:r>
    </w:p>
    <w:p w:rsidR="009D2B59" w:rsidRPr="00A110D9" w:rsidP="005764ED" w14:paraId="0651C4D0" w14:textId="3489950F">
      <w:pPr>
        <w:pStyle w:val="NormalHanging12a"/>
        <w:ind w:left="426" w:hanging="426"/>
        <w:rPr>
          <w:i/>
          <w:iCs/>
        </w:rPr>
      </w:pPr>
      <w:r w:rsidRPr="00A110D9">
        <w:rPr>
          <w:i/>
        </w:rPr>
        <w:t>IV. Rôle des soins primaires et des services de proximité dans la prévention et la réduction des risques cardiovasculaires</w:t>
      </w:r>
    </w:p>
    <w:p w:rsidR="009D2B59" w:rsidRPr="00A110D9" w:rsidP="005764ED" w14:paraId="09F814B1" w14:textId="77777777">
      <w:pPr>
        <w:pStyle w:val="NormalHanging12a"/>
      </w:pPr>
      <w:r w:rsidRPr="00A110D9">
        <w:t>84.</w:t>
      </w:r>
      <w:r w:rsidRPr="00A110D9">
        <w:tab/>
        <w:t xml:space="preserve">souligne le rôle crucial de systèmes de santé primaires et de services de proximité performants et intégrés, notamment de pharmacies hospitalières et d’officine, dans la prévention, le dépistage précoce et la réduction des risques à long terme des maladies </w:t>
      </w:r>
      <w:r w:rsidRPr="00A110D9">
        <w:t xml:space="preserve">cardiovasculaires et de leurs facteurs de risque interconnectés, en particulier dans les zones rurales sous-dotées et les zones urbaines </w:t>
      </w:r>
      <w:r w:rsidRPr="00A110D9">
        <w:t>défavorisées;</w:t>
      </w:r>
      <w:r w:rsidRPr="00A110D9">
        <w:t xml:space="preserve"> </w:t>
      </w:r>
    </w:p>
    <w:p w:rsidR="009D2B59" w:rsidRPr="00A110D9" w:rsidP="005764ED" w14:paraId="0D3E7577" w14:textId="77777777">
      <w:pPr>
        <w:pStyle w:val="NormalHanging12a"/>
      </w:pPr>
      <w:r w:rsidRPr="00A110D9">
        <w:t>85.</w:t>
      </w:r>
      <w:r w:rsidRPr="00A110D9">
        <w:tab/>
        <w:t xml:space="preserve">invite la Commission, en coopération avec les États membres, à soutenir des mesures pilotes ciblées dans les zones à forte prévalence et sous-dotées, afin de combiner des contrôles axés sur les risques et assurés dans le cadre de soins primaires, une prévention effectuée par les services de proximité, un appui par télémédecine, des services de diagnostic mobiles et des parcours clairs d’orientation et de suivi, dans une perspective d’évaluation de leurs effets et de généralisation des modèles efficaces dans toute l’Union; </w:t>
      </w:r>
    </w:p>
    <w:p w:rsidR="009D2B59" w:rsidRPr="00A110D9" w:rsidP="005764ED" w14:paraId="302CFB52" w14:textId="77777777">
      <w:pPr>
        <w:pStyle w:val="NormalHanging12a"/>
      </w:pPr>
      <w:r w:rsidRPr="00A110D9">
        <w:t>86.</w:t>
      </w:r>
      <w:r w:rsidRPr="00A110D9">
        <w:tab/>
        <w:t xml:space="preserve">demande que la collaboration entre les services de soins primaires et les services spécialisés dans les maladies cardiovasculaires soit renforcée afin d’optimiser les interventions visant à prévenir et à réduire efficacement les risques </w:t>
      </w:r>
      <w:r w:rsidRPr="00A110D9">
        <w:t>cardiovasculaires;</w:t>
      </w:r>
      <w:r w:rsidRPr="00A110D9">
        <w:t xml:space="preserve"> </w:t>
      </w:r>
    </w:p>
    <w:p w:rsidR="009D2B59" w:rsidRPr="00A110D9" w:rsidP="005764ED" w14:paraId="48B24F42" w14:textId="77777777">
      <w:pPr>
        <w:pStyle w:val="NormalHanging12a"/>
      </w:pPr>
      <w:r w:rsidRPr="00A110D9">
        <w:t>87.</w:t>
      </w:r>
      <w:r w:rsidRPr="00A110D9">
        <w:tab/>
        <w:t xml:space="preserve">invite les États membres à allouer des ressources adéquates aux infrastructures de soins de santé primaires, aux équipes multidisciplinaires et aux services de prévention, y compris pour l’accès à des outils de diagnostic et à des infrastructures numériques essentiels pour le dépistage, la détection précoce et le suivi; encourage les États membres à réduire les éventuels paiements à la charge des patients pour les services essentiels de prévention et de traitement des maladies cardiovasculaires, car des niveaux élevés de paiements directs par les patients peuvent constituer un obstacle majeur à l’accès à la prévention et au traitement des maladies cardiovasculaires, en particulier pour les ménages à faibles revenus; souligne que le dépistage précoce et les soins préventifs devraient être financièrement accessibles, y compris pour les ménages à faibles revenus; insiste sur le rôle des soins de santé primaires dans l’adhésion aux traitements des maladies cardiovasculaires; </w:t>
      </w:r>
    </w:p>
    <w:p w:rsidR="009D2B59" w:rsidRPr="00A110D9" w:rsidP="005764ED" w14:paraId="7B9761FA" w14:textId="77777777">
      <w:pPr>
        <w:pStyle w:val="NormalHanging12a"/>
      </w:pPr>
      <w:r w:rsidRPr="00A110D9">
        <w:t>88.</w:t>
      </w:r>
      <w:r w:rsidRPr="00A110D9">
        <w:tab/>
        <w:t xml:space="preserve">souligne que le dépistage précoce et la prévention interviennent principalement au niveau des soins primaires, lors desquels les médecins généralistes sont souvent le premier point de contact pour les patients; fait observer que les médecins généralistes et les prestataires de soins primaires jouent un rôle clé dans l’évaluation des facteurs de risque liés au mode de vie et dans la fourniture de conseils fondés sur des données probantes concernant le type et la fréquence de l’activité physique dont les individus ont besoin pour maintenir ou améliorer leur santé cardiovasculaire et leur santé générale; </w:t>
      </w:r>
    </w:p>
    <w:p w:rsidR="009D2B59" w:rsidRPr="00A110D9" w:rsidP="005764ED" w14:paraId="7996AD33" w14:textId="77777777">
      <w:pPr>
        <w:pStyle w:val="NormalHanging12a"/>
      </w:pPr>
      <w:r w:rsidRPr="00A110D9">
        <w:t>89.</w:t>
      </w:r>
      <w:r w:rsidRPr="00A110D9">
        <w:tab/>
        <w:t xml:space="preserve">souligne que la prévention secondaire est essentielle pour les personnes qui ont subi un événement </w:t>
      </w:r>
      <w:r w:rsidRPr="00A110D9">
        <w:t>cardiovasculaire;</w:t>
      </w:r>
      <w:r w:rsidRPr="00A110D9">
        <w:t xml:space="preserve"> relève que la prévention secondaire englobe la gestion structurée des facteurs de risque, la surveillance de l’observance du traitement, un soutien ciblé en matière de mode de vie et un suivi clinique régulier afin de réduire au minimum le risque de récidive; </w:t>
      </w:r>
    </w:p>
    <w:p w:rsidR="009D2B59" w:rsidRPr="00A110D9" w:rsidP="005764ED" w14:paraId="247F879F" w14:textId="77777777">
      <w:pPr>
        <w:pStyle w:val="NormalHanging12a"/>
      </w:pPr>
      <w:r w:rsidRPr="00A110D9">
        <w:t>90.</w:t>
      </w:r>
      <w:r w:rsidRPr="00A110D9">
        <w:tab/>
        <w:t xml:space="preserve">souligne l’importance de renforcer la capacité des prestataires de soins primaires à réaliser des interventions brèves dans le cadre de la pratique clinique de routine en vue de réduire les risques cardiovasculaires, notamment en adoptant une approche en cinq points (demander, évaluer, conseiller, aider, organiser) visant à faciliter les changements de comportement associés aux principaux facteurs de risque de maladies </w:t>
      </w:r>
      <w:r w:rsidRPr="00A110D9">
        <w:t>cardiovasculaires;</w:t>
      </w:r>
      <w:r w:rsidRPr="00A110D9">
        <w:t xml:space="preserve">  </w:t>
      </w:r>
    </w:p>
    <w:p w:rsidR="009D2B59" w:rsidRPr="00A110D9" w:rsidP="005764ED" w14:paraId="4B82AF9C" w14:textId="77777777">
      <w:pPr>
        <w:pStyle w:val="NormalHanging12a"/>
      </w:pPr>
      <w:r w:rsidRPr="00A110D9">
        <w:t>91.</w:t>
      </w:r>
      <w:r w:rsidRPr="00A110D9">
        <w:tab/>
        <w:t xml:space="preserve">souligne la nécessité cruciale, dans le cadre de toute stratégie de l’Union en matière de maladies cardiovasculaires, de disposer de capacités solides de soins intensifs, capables </w:t>
      </w:r>
      <w:r w:rsidRPr="00A110D9">
        <w:t xml:space="preserve">de prendre en charge les événements cardiovasculaires aigus tels que les arrêts cardiaques, les chocs cardiogéniques et les insuffisances cardiaques aiguës, en s’appuyant sur des réseaux régionaux intégrés d’unités de soins intensifs; s’inquiète des graves pénuries de personnel dans les unités de soins intensifs, qui entravent la prise en charge des urgences cardiovasculaires les plus graves, et préconise un soutien ciblé, notamment un accompagnement en matière de santé mentale, des stratégies améliorées de fidélisation du personnel et des formations multidisciplinaires spécialisées, afin de pérenniser les capacités des services de première ligne; </w:t>
      </w:r>
    </w:p>
    <w:p w:rsidR="009D2B59" w:rsidRPr="00A110D9" w:rsidP="005764ED" w14:paraId="6F97CD22" w14:textId="77777777">
      <w:pPr>
        <w:pStyle w:val="NormalHanging12a"/>
      </w:pPr>
      <w:r w:rsidRPr="00A110D9">
        <w:t>92.</w:t>
      </w:r>
      <w:r w:rsidRPr="00A110D9">
        <w:tab/>
        <w:t xml:space="preserve">invite les États membres à renforcer les capacités des services de proximité en matière de soins cardiovasculaires et d’intervention d’urgence, notamment l’accès aux dispositifs de sauvetage, la coordination avec les services de soins primaires et d’urgence et la mise en place de réseaux d’intervention locaux, afin de réduire les inégalités en matière de survie et d’issues des événements cardiovasculaires </w:t>
      </w:r>
      <w:r w:rsidRPr="00A110D9">
        <w:t>aigus;</w:t>
      </w:r>
      <w:r w:rsidRPr="00A110D9">
        <w:t xml:space="preserve"> </w:t>
      </w:r>
    </w:p>
    <w:p w:rsidR="009D2B59" w:rsidRPr="00A110D9" w:rsidP="005764ED" w14:paraId="2DA58CE9" w14:textId="77777777">
      <w:pPr>
        <w:pStyle w:val="NormalHanging12a"/>
      </w:pPr>
      <w:r w:rsidRPr="00A110D9">
        <w:t>93.</w:t>
      </w:r>
      <w:r w:rsidRPr="00A110D9">
        <w:tab/>
        <w:t xml:space="preserve">invite la Commission et les États membres à reconnaître le rôle essentiel des organisations de la société civile actives dans le domaine de la santé et des associations de patients dans la prévention des maladies cardiovasculaires, la sensibilisation, le soutien par les pairs, l’autonomisation des patients et l’élaboration de </w:t>
      </w:r>
      <w:r w:rsidRPr="00A110D9">
        <w:t>politiques;</w:t>
      </w:r>
      <w:r w:rsidRPr="00A110D9">
        <w:t xml:space="preserve"> souligne que la continuité, l’indépendance et l’efficacité de leur travail dépendent d’un financement public adéquat, durable et transparent; </w:t>
      </w:r>
    </w:p>
    <w:p w:rsidR="009D2B59" w:rsidRPr="00A110D9" w:rsidP="005764ED" w14:paraId="431B8E5A" w14:textId="77777777">
      <w:pPr>
        <w:pStyle w:val="NormalHanging12a"/>
      </w:pPr>
      <w:r w:rsidRPr="00A110D9">
        <w:t>94.</w:t>
      </w:r>
      <w:r w:rsidRPr="00A110D9">
        <w:tab/>
        <w:t xml:space="preserve">préconise de reconnaître et de soutenir le rôle des professionnels de la santé spécialement formés à la prévention, au dépistage précoce et à certaines tâches de traitement en matière de santé cardiovasculaire, car ils peuvent en partie compenser le manque de cardiologues, notamment dans les zones rurales; réclame que les tâches bénévoles et de proximité de soutien psychologique aux patients atteints de maladies cardiovasculaires devraient être formellement reconnues et convenablement soutenues; fait valoir que le soutien psychologique est important pour traiter certains facteurs de risque cardiovasculaire et contribue à la guérison; souligne le rôle des soins de proximité dans la lutte contre l’exclusion sociale, le faible niveau de connaissances en matière de santé, la stigmatisation et les obstacles à l’accès aux soins, qui aggravent les effets des maladies cardiovasculaires dans les groupes vulnérables;  </w:t>
      </w:r>
    </w:p>
    <w:p w:rsidR="009D2B59" w:rsidRPr="00A110D9" w:rsidP="005764ED" w14:paraId="1330E605" w14:textId="77777777">
      <w:pPr>
        <w:pStyle w:val="NormalHanging12a"/>
        <w:rPr>
          <w:i/>
          <w:iCs/>
        </w:rPr>
      </w:pPr>
      <w:r w:rsidRPr="00A110D9">
        <w:rPr>
          <w:i/>
        </w:rPr>
        <w:t>V. Multimorbidité</w:t>
      </w:r>
    </w:p>
    <w:p w:rsidR="009D2B59" w:rsidRPr="00A110D9" w:rsidP="005764ED" w14:paraId="55F500B1" w14:textId="77777777">
      <w:pPr>
        <w:pStyle w:val="NormalHanging12a"/>
      </w:pPr>
      <w:r w:rsidRPr="00A110D9">
        <w:t>95.</w:t>
      </w:r>
      <w:r w:rsidRPr="00A110D9">
        <w:tab/>
        <w:t xml:space="preserve">souligne que les maladies cardiovasculaires coexistent souvent avec d’autres affections chroniques, notamment le diabète, l’obésité, les maladies rénales chroniques, les troubles rhumatismaux et </w:t>
      </w:r>
      <w:r w:rsidRPr="00A110D9">
        <w:t>musculo-squelettiques</w:t>
      </w:r>
      <w:r w:rsidRPr="00A110D9">
        <w:t xml:space="preserve">, les troubles pulmonaires dont les pathologies pulmonaires et respiratoires, la stéatose hépatique associée à un dysfonctionnement métabolique, les dermatoses, l’apnée du sommeil obstructive, l’anémie, l’insomnie chronique et les troubles psychiques et reproductifs, ainsi que le cancer et ses séquelles chez les survivants, qui augmentent considérablement le risque cardiovasculaire, compliquent le traitement et détériorent les résultats de santé; insiste sur le fait que la prise en charge isolée des maladies cardiovasculaires ne suffit pas à réduire la morbidité et la mortalité; souligne que la prévention et le contrôle de ces affections pourraient constituer un moyen efficace au regard des coûts de contribuer à la prévention des problèmes de santé cardiovasculaire; reconnaît qu’il importe de garantir un accès équitable et en temps utile aux traitements et aux innovations thérapeutiques dans le domaine des maladies cardiovasculaires; </w:t>
      </w:r>
    </w:p>
    <w:p w:rsidR="009D2B59" w:rsidRPr="00A110D9" w:rsidP="005764ED" w14:paraId="33286CF4" w14:textId="77777777">
      <w:pPr>
        <w:pStyle w:val="NormalHanging12a"/>
      </w:pPr>
      <w:r w:rsidRPr="00A110D9">
        <w:t>96.</w:t>
      </w:r>
      <w:r w:rsidRPr="00A110D9">
        <w:tab/>
        <w:t xml:space="preserve">souligne que le diabète augmente considérablement la morbidité, la mortalité et les dépenses de santé; souligne que les approches politiques fragmentées qui traitent séparément les maladies cardiovasculaires et le diabète risquent de dégrader les résultats en matière de prévention, de dépistage précoce et de prise en charge à long terme; invite les États membres à veiller à ce que les plans nationaux de santé cardiovasculaire comprennent un volet exhaustif sur le diabète ou soient clairement alignés sur les stratégies nationales existantes de lutte contre le diabète; souligne qu’il convient d’accorder une attention particulière aux enfants et aux adolescents diabétiques (de type 1 et, de plus en plus souvent, de type 2), qui devront supporter le poids de cette maladie tout au long de leur vie et qui présentent un risque accru de complications cardiovasculaires précoces et de mortalité; insiste sur le fait que le diabète et l’obésité contribuent fortement aux maladies cardiovasculaires, avec lesquelles ils partagent des facteurs de risque et des mécanismes biologiques; souligne que la prévention et la prise en charge efficaces du diabète et de l’obésité, notamment grâce à un dépistage précoce, une prise en charge à long terme et un soutien au mode de vie, sont des éléments essentiels de la prévention et du traitement des maladies cardiovasculaires; souligne que la prise en charge efficace de l’obésité et des maladies cardiovasculaires se heurte au manque de sensibilisation au fait que l’obésité est une maladie chronique et à la fragmentation des approches stratégiques en matière de parcours de soins en cas d’obésité; </w:t>
      </w:r>
    </w:p>
    <w:p w:rsidR="009D2B59" w:rsidRPr="00A110D9" w:rsidP="005764ED" w14:paraId="30E8A0A3" w14:textId="77777777">
      <w:pPr>
        <w:pStyle w:val="NormalHanging12a"/>
      </w:pPr>
      <w:r w:rsidRPr="00A110D9">
        <w:t>97.</w:t>
      </w:r>
      <w:r w:rsidRPr="00A110D9">
        <w:tab/>
        <w:t xml:space="preserve">souligne qu’il existe un lien étroit et bidirectionnel entre les maladies rénales chroniques et les maladies cardiovasculaires; insiste sur le fait que les maladies rénales sont souvent sous-diagnostiquées chez les personnes présentant des facteurs de risque cardiovasculaire et qu’elles sont associées à une augmentation de la morbidité et de la mortalité cardiovasculaires; demande que la santé rénale soit mieux intégrée dans l’évaluation des risques cardiovasculaires et les parcours de soins correspondants; </w:t>
      </w:r>
    </w:p>
    <w:p w:rsidR="009D2B59" w:rsidRPr="00A110D9" w:rsidP="005764ED" w14:paraId="67675871" w14:textId="77777777">
      <w:pPr>
        <w:pStyle w:val="NormalHanging12a"/>
      </w:pPr>
      <w:r w:rsidRPr="00A110D9">
        <w:t>98.</w:t>
      </w:r>
      <w:r w:rsidRPr="00A110D9">
        <w:tab/>
        <w:t xml:space="preserve">souligne que la pneumopathie obstructive chronique constitue une comorbidité fréquente et grave chez les personnes atteintes de maladies cardiovasculaires; relève que la pneumopathie obstructive chronique et les maladies cardiovasculaires partagent les mêmes facteurs de risque majeurs tels que le tabagisme, la pollution de l’air et les situations socio-économiques défavorisées; souligne que la pneumopathie obstructive chronique augmente considérablement la morbidité, la mortalité et le nombre d’hospitalisations liées aux maladies cardiovasculaires; </w:t>
      </w:r>
    </w:p>
    <w:p w:rsidR="009D2B59" w:rsidRPr="00A110D9" w:rsidP="005764ED" w14:paraId="02B8CEFB" w14:textId="77777777">
      <w:pPr>
        <w:pStyle w:val="NormalHanging12a"/>
      </w:pPr>
      <w:r w:rsidRPr="00A110D9">
        <w:t>99.</w:t>
      </w:r>
      <w:r w:rsidRPr="00A110D9">
        <w:tab/>
        <w:t xml:space="preserve">souligne que les maladies aortiques, notamment l’anévrisme de l’aorte et la dissection aortique, sont des affections cardiovasculaires graves et souvent sous-diagnostiquées, étroitement liées à l’hypertension, au tabagisme, aux troubles génétiques et au vieillissement; insiste sur le fait que les retards de dépistage des maladies aortiques sont associés à une mortalité élevée et à la nécessité d’interventions d’urgence qui pourraient être évitées; plaide en faveur d’une meilleure sensibilisation, d’un diagnostic précoce et de la mise en place de parcours d’orientation appropriés pour les maladies aortiques dans le cadre des stratégies de prévention, de dépistage précoce et de soins de longue durée des maladies cardiovasculaires; </w:t>
      </w:r>
    </w:p>
    <w:p w:rsidR="009D2B59" w:rsidRPr="00A110D9" w:rsidP="005764ED" w14:paraId="06E92431" w14:textId="77777777">
      <w:pPr>
        <w:pStyle w:val="NormalHanging12a"/>
      </w:pPr>
      <w:r w:rsidRPr="00A110D9">
        <w:t>100.</w:t>
      </w:r>
      <w:r w:rsidRPr="00A110D9">
        <w:tab/>
        <w:t xml:space="preserve">fait remarquer que la stéatose hépatique associée à un dysfonctionnement métabolique est une comorbidité très fréquente mais peu reconnue chez les personnes atteintes de maladies cardiovasculaires, de diabète et d’obésité; souligne que la stéatose hépatique associée à un dysfonctionnement métabolique, en particulier lorsqu’elle s’accompagne d’une fibrose hépatique, est un facteur prédictif indépendant d’infarctus du myocarde, </w:t>
      </w:r>
      <w:r w:rsidRPr="00A110D9">
        <w:t>d’accident vasculaire cérébral et d’insuffisance cardiaque, et qu’elle peut multiplier par quatre le risque cardiovasculaire chez les personnes atteintes de diabète de type 2;</w:t>
      </w:r>
    </w:p>
    <w:p w:rsidR="009D2B59" w:rsidRPr="00A110D9" w:rsidP="005764ED" w14:paraId="391E1756" w14:textId="77777777">
      <w:pPr>
        <w:pStyle w:val="NormalHanging12a"/>
      </w:pPr>
      <w:r w:rsidRPr="00A110D9">
        <w:t>101.</w:t>
      </w:r>
      <w:r w:rsidRPr="00A110D9">
        <w:tab/>
        <w:t xml:space="preserve">invite la Commission à veiller à ce que la prochaine recommandation du Conseil sur le traitement et le suivi personnalisés des maladies cardiovasculaires fournisse des orientations claires aux États membres en vue de l’élaboration de programmes de prévention et de gestion intégrées des maladies, qui incluent les soins liés au diabète et à l’obésité, y compris la gestion du poids, dans les protocoles de prévention des maladies </w:t>
      </w:r>
      <w:r w:rsidRPr="00A110D9">
        <w:t>cardiovasculaires;</w:t>
      </w:r>
      <w:r w:rsidRPr="00A110D9">
        <w:t xml:space="preserve"> </w:t>
      </w:r>
    </w:p>
    <w:p w:rsidR="009D2B59" w:rsidRPr="00A110D9" w:rsidP="005764ED" w14:paraId="52721D2B" w14:textId="77777777">
      <w:pPr>
        <w:pStyle w:val="NormalHanging12a"/>
      </w:pPr>
      <w:r w:rsidRPr="00A110D9">
        <w:t>102.</w:t>
      </w:r>
      <w:r w:rsidRPr="00A110D9">
        <w:tab/>
        <w:t xml:space="preserve">souligne que les maladies inflammatoires chroniques de la peau, telles que le psoriasis, l’eczéma </w:t>
      </w:r>
      <w:r w:rsidRPr="00A110D9">
        <w:t>atopique</w:t>
      </w:r>
      <w:r w:rsidRPr="00A110D9">
        <w:t xml:space="preserve"> et l’acné, sont associées à un risque accru de maladies cardiovasculaires et </w:t>
      </w:r>
      <w:r w:rsidRPr="00A110D9">
        <w:t>cérébro</w:t>
      </w:r>
      <w:r w:rsidRPr="00A110D9">
        <w:t xml:space="preserve">-vasculaires en raison de mécanismes inflammatoires systémiques </w:t>
      </w:r>
      <w:r w:rsidRPr="00A110D9">
        <w:t>communs;</w:t>
      </w:r>
      <w:r w:rsidRPr="00A110D9">
        <w:t xml:space="preserve"> insiste sur l’importance d’intégrer une évaluation des risques cardiovasculaires dans les parcours de soins dermatologiques;  </w:t>
      </w:r>
    </w:p>
    <w:p w:rsidR="009D2B59" w:rsidRPr="00A110D9" w:rsidP="005764ED" w14:paraId="7ED5CA7E" w14:textId="77777777">
      <w:pPr>
        <w:pStyle w:val="NormalHanging12a"/>
      </w:pPr>
      <w:r w:rsidRPr="00A110D9">
        <w:t>103.</w:t>
      </w:r>
      <w:r w:rsidRPr="00A110D9">
        <w:tab/>
        <w:t xml:space="preserve">souligne que les cardiomyopathies, qui constituent un groupe hétérogène de maladies du muscle cardiaque souvent héréditaires, peuvent toucher des personnes de tout âge et sont une cause importante d’insuffisance cardiaque, d’arythmie, d’accident vasculaire cérébral et de mort subite d’origine </w:t>
      </w:r>
      <w:r w:rsidRPr="00A110D9">
        <w:t>cardiaque;</w:t>
      </w:r>
      <w:r w:rsidRPr="00A110D9">
        <w:t xml:space="preserve"> souligne que les cardiomyopathies restent sous-diagnostiquées et ne sont souvent identifiées qu’après des événements graves ou mettant en jeu le pronostic vital; </w:t>
      </w:r>
    </w:p>
    <w:p w:rsidR="009D2B59" w:rsidRPr="00A110D9" w:rsidP="005764ED" w14:paraId="6AC635BD" w14:textId="77777777">
      <w:pPr>
        <w:pStyle w:val="NormalHanging12a"/>
      </w:pPr>
      <w:r w:rsidRPr="00A110D9">
        <w:t>104.</w:t>
      </w:r>
      <w:r w:rsidRPr="00A110D9">
        <w:tab/>
        <w:t xml:space="preserve">souligne que les maladies cardiovasculaires rares touchant les enfants constituent une cause majeure de morbidité; rappelle que les retards de diagnostic et la fragmentation des soins dispensés pendant l’enfance peuvent entraîner des complications qui auraient pu être évitées, des handicaps et une mortalité prématurée tout au long de la vie; invite la Commission et les États membres à renforcer le dépistage précoce, les parcours d’orientation vers des pédiatres spécialisés et un passage sans heurts des soins pédiatriques aux soins pour adultes, notamment grâce aux réseaux européens de référence; </w:t>
      </w:r>
    </w:p>
    <w:p w:rsidR="009D2B59" w:rsidRPr="00A110D9" w:rsidP="005764ED" w14:paraId="51087823" w14:textId="77777777">
      <w:pPr>
        <w:pStyle w:val="NormalHanging12a"/>
      </w:pPr>
      <w:r w:rsidRPr="00A110D9">
        <w:t>105.</w:t>
      </w:r>
      <w:r w:rsidRPr="00A110D9">
        <w:tab/>
        <w:t xml:space="preserve">souligne que l’insuffisance cardiaque et d’autres maladies cardiaques chroniques liées au vieillissement de la population représentent un fardeau de plus en plus </w:t>
      </w:r>
      <w:r w:rsidRPr="00A110D9">
        <w:t>lourd;</w:t>
      </w:r>
      <w:r w:rsidRPr="00A110D9">
        <w:t xml:space="preserve"> souligne que le diagnostic précoce, la continuité des soins et l’accès à des équipes de soins multidisciplinaires sont essentiels pour améliorer la qualité de vie, réduire les hospitalisations évitables et renforcer la prise en charge thérapeutique à long terme;</w:t>
      </w:r>
    </w:p>
    <w:p w:rsidR="009D2B59" w:rsidRPr="00A110D9" w:rsidP="005764ED" w14:paraId="4CF5C6E2" w14:textId="77777777">
      <w:pPr>
        <w:pStyle w:val="NormalHanging12a"/>
      </w:pPr>
      <w:r w:rsidRPr="00A110D9">
        <w:t>106.</w:t>
      </w:r>
      <w:r w:rsidRPr="00A110D9">
        <w:tab/>
        <w:t xml:space="preserve">souligne que les personnes atteintes de maladies cardiovasculaires et d’affections chroniques concomitantes sont souvent confrontées à des soins fragmentés et mal coordonnés, y compris en matière de vaccination, ce qui entraîne des retards de diagnostic, des traitements incohérents et des complications qui auraient pu être </w:t>
      </w:r>
      <w:r w:rsidRPr="00A110D9">
        <w:t>évitées;</w:t>
      </w:r>
      <w:r w:rsidRPr="00A110D9">
        <w:t xml:space="preserve"> </w:t>
      </w:r>
    </w:p>
    <w:p w:rsidR="009D2B59" w:rsidRPr="00A110D9" w:rsidP="005764ED" w14:paraId="0BDBA2B9" w14:textId="77777777">
      <w:pPr>
        <w:pStyle w:val="NormalHanging12a"/>
      </w:pPr>
      <w:r w:rsidRPr="00A110D9">
        <w:t>107</w:t>
      </w:r>
      <w:r w:rsidRPr="00A110D9">
        <w:tab/>
        <w:t xml:space="preserve">souligne que, pour lutter efficacement contre les maladies cardiovasculaires et les comorbidités associées, les systèmes de santé doivent abandonner les approches cloisonnées au profit d’une prévention et de soins intégrés afin d’améliorer les résultats, d’optimiser l’utilisation des ressources et de renforcer la gestion clinique grâce au financement de l’Union, à la collaboration transnationale, à la formation et à l’échange de bonnes </w:t>
      </w:r>
      <w:r w:rsidRPr="00A110D9">
        <w:t>pratiques;</w:t>
      </w:r>
      <w:r w:rsidRPr="00A110D9">
        <w:t xml:space="preserve"> </w:t>
      </w:r>
    </w:p>
    <w:p w:rsidR="009D2B59" w:rsidRPr="00A110D9" w:rsidP="005764ED" w14:paraId="03FE45CA" w14:textId="77777777">
      <w:pPr>
        <w:pStyle w:val="NormalHanging12a"/>
      </w:pPr>
      <w:r w:rsidRPr="00A110D9">
        <w:t>108.</w:t>
      </w:r>
      <w:r w:rsidRPr="00A110D9">
        <w:tab/>
        <w:t xml:space="preserve">attire l’attention sur la nécessité de renforcer les compétences des professionnels de la </w:t>
      </w:r>
      <w:r w:rsidRPr="00A110D9">
        <w:t xml:space="preserve">santé dans la prise en charge des maladies cardiovasculaires en cas de pathologies chroniques </w:t>
      </w:r>
      <w:r w:rsidRPr="00A110D9">
        <w:t>concomitantes;</w:t>
      </w:r>
      <w:r w:rsidRPr="00A110D9">
        <w:t xml:space="preserve"> invite les États membres à veiller à ce que les prestataires de soins de santé primaires bénéficient de formations en matière d’évaluation globale des risques, de gestion des médicaments et de prise de décision partagée; </w:t>
      </w:r>
    </w:p>
    <w:p w:rsidR="009D2B59" w:rsidRPr="00A110D9" w:rsidP="005764ED" w14:paraId="4CC7FACC" w14:textId="77777777">
      <w:pPr>
        <w:pStyle w:val="NormalHanging12a"/>
      </w:pPr>
      <w:r w:rsidRPr="00A110D9">
        <w:t>109.</w:t>
      </w:r>
      <w:r w:rsidRPr="00A110D9">
        <w:tab/>
        <w:t xml:space="preserve">demande que des parcours de soins intégrés et centrés sur la personne soient mis en place pour les personnes atteintes de maladies cardiovasculaires et de maladies chroniques concomitantes, afin d’assurer la coordination entre les soins primaires, les soins spécialisés et les services de proximité et de favoriser la continuité des soins à long terme au niveau des États membres et de </w:t>
      </w:r>
      <w:r w:rsidRPr="00A110D9">
        <w:t>l’Union;</w:t>
      </w:r>
      <w:r w:rsidRPr="00A110D9">
        <w:t xml:space="preserve"> </w:t>
      </w:r>
    </w:p>
    <w:p w:rsidR="009D2B59" w:rsidRPr="00A110D9" w:rsidP="005764ED" w14:paraId="2EED4897" w14:textId="77777777">
      <w:pPr>
        <w:pStyle w:val="NormalHanging12a"/>
        <w:rPr>
          <w:i/>
          <w:iCs/>
        </w:rPr>
      </w:pPr>
      <w:r w:rsidRPr="00A110D9">
        <w:rPr>
          <w:i/>
        </w:rPr>
        <w:t>VI. Réduction des inégalités</w:t>
      </w:r>
    </w:p>
    <w:p w:rsidR="009D2B59" w:rsidRPr="00A110D9" w:rsidP="005764ED" w14:paraId="60069295" w14:textId="77777777">
      <w:pPr>
        <w:pStyle w:val="NormalHanging12a"/>
      </w:pPr>
      <w:r w:rsidRPr="00A110D9">
        <w:t>110.</w:t>
      </w:r>
      <w:r w:rsidRPr="00A110D9">
        <w:tab/>
        <w:t xml:space="preserve">souligne que la charge des maladies cardiovasculaires et d’autres maladies non transmissibles est inégalement répartie entre les États membres et au sein même de ceux-ci, ce qui se traduit par des inégalités persistantes au niveau de la morbidité, de la mortalité et de la qualité de vie; attire l’attention sur le fait que ces disparités sont étroitement liées au statut socio-économique, à la géographie, au genre, à l’âge et à l’accès aux services de soins de santé et à une alimentation saine et abordable, à l’existence d’espaces sûrs et accessibles pour la pratique d’une activité physique, ainsi qu’à l’existence d’une éducation à la santé et à la prévention; </w:t>
      </w:r>
    </w:p>
    <w:p w:rsidR="009D2B59" w:rsidRPr="00A110D9" w:rsidP="005764ED" w14:paraId="77325423" w14:textId="77777777">
      <w:pPr>
        <w:pStyle w:val="NormalHanging12a"/>
        <w:rPr>
          <w:bCs/>
        </w:rPr>
      </w:pPr>
      <w:r w:rsidRPr="00A110D9">
        <w:t>111.</w:t>
      </w:r>
      <w:r w:rsidRPr="00A110D9">
        <w:tab/>
        <w:t>invite la Commission et les États membres à faire, dans leurs champs de compétence respectifs, de la réduction des inégalités en matière de santé cardiovasculaire un objectif mesurable de la politique de santé de l’Union; salue donc l’initiative phare de la Commission visant à mettre en place un tableau de bord européen des inégalités en matière de santé cardiovasculaire, inspiré du registre européen des inégalités en matière de cancer; souligne qu’il convient, pour établir ce tableau de bord, de se fonder sur des données actualisées, comparables et ventilées fournies par les États membres, et de sortir du cadre des seuls résultats de santé globaux en assurant un suivi systématique de la mise en œuvre des mesures destinées à remédier aux déterminants sociaux et environnementaux de la santé, afin de garantir la responsabilité, l’élaboration de politiques fondées sur des données probantes et un suivi transparent des progrès accomplis dans la réduction des inégalités en matière de santé cardiovasculaire dans l’ensemble de l’Union; souligne que les données collectées devraient également être prises en compte dans les rapports sur l’état de la santé dans l’Union européenne et dans les profils de santé par pays et servir à l’élaboration des recommandations adressées aux États membres dans le cadre du Semestre européen; souligne qu’une communication transparente et normalisée permettra de faciliter la comparaison entre les États membres et de soutenir l’objectif de l’Union visant à réduire la charge que représentent les maladies cardiovasculaires;</w:t>
      </w:r>
    </w:p>
    <w:p w:rsidR="009D2B59" w:rsidRPr="00A110D9" w:rsidP="005764ED" w14:paraId="60D2C623" w14:textId="77777777">
      <w:pPr>
        <w:pStyle w:val="NormalHanging12a"/>
        <w:ind w:left="360" w:hanging="360"/>
        <w:rPr>
          <w:b/>
          <w:bCs/>
          <w:smallCaps/>
        </w:rPr>
      </w:pPr>
      <w:r w:rsidRPr="00A110D9">
        <w:rPr>
          <w:b/>
          <w:smallCaps/>
        </w:rPr>
        <w:t>Sous-diagnostic des femmes et écart entre les genres</w:t>
      </w:r>
    </w:p>
    <w:p w:rsidR="009D2B59" w:rsidRPr="00A110D9" w:rsidP="005764ED" w14:paraId="11081DA3" w14:textId="77777777">
      <w:pPr>
        <w:pStyle w:val="NormalHanging12a"/>
      </w:pPr>
      <w:r w:rsidRPr="00A110D9">
        <w:t>112.</w:t>
      </w:r>
      <w:r w:rsidRPr="00A110D9">
        <w:tab/>
        <w:t xml:space="preserve">souligne que les maladies cardiovasculaires chez les femmes sont souvent sous-diagnostiquées, diagnostiquées trop tardivement ou mal diagnostiquées en raison de facteurs de risque propres, de biais sexistes persistants, d’une présentation atypique des symptômes et de critères de diagnostic obsolètes, étant précisé que les femmes atteintes de diabète de type 1 sont exposées à un risque jusqu’à dix fois plus élevé de maladie cardiovasculaire prématurée à un âge plus jeune; appelle à une formation systématique des professionnels de la santé afin d’améliorer la compréhension et la reconnaissance </w:t>
      </w:r>
      <w:r w:rsidRPr="00A110D9">
        <w:t xml:space="preserve">des symptômes cardiovasculaires sexospécifiques et de réduire les retards de diagnostic qui augmentent la morbidité et la mortalité; souligne qu’il est important d’améliorer le dépistage et la prise en charge des cardiopathies congénitales chez les femmes, ainsi que de renforcer le dépistage et la surveillance cardiovasculaires pendant la grossesse et la période périnatale afin d’identifier les risques à un stade précoce; </w:t>
      </w:r>
    </w:p>
    <w:p w:rsidR="009D2B59" w:rsidRPr="00A110D9" w:rsidP="005764ED" w14:paraId="7F659F6C" w14:textId="77777777">
      <w:pPr>
        <w:pStyle w:val="NormalHanging12a"/>
      </w:pPr>
      <w:r w:rsidRPr="00A110D9">
        <w:t>113.</w:t>
      </w:r>
      <w:r w:rsidRPr="00A110D9">
        <w:tab/>
        <w:t>souligne que les femmes atteintes de diabète et d’autres maladies métaboliques sont, en moyenne, diagnostiquées 4,5 ans plus tard que les hommes; fait observer que ce retard de diagnostic augmente d’environ 30 % le risque de mortalité cardiovasculaire des femmes</w:t>
      </w:r>
      <w:r>
        <w:rPr>
          <w:rStyle w:val="FootnoteReference"/>
        </w:rPr>
        <w:footnoteReference w:id="48"/>
      </w:r>
      <w:r w:rsidRPr="00A110D9">
        <w:t xml:space="preserve">; souligne que les retards de diagnostic entraînent des retards dans l’accès à des soins appropriés en temps opportun, ce qui augmente encore le risque de complications cardiovasculaires et aggrave les inégalités existantes en matière de santé cardiovasculaire chez les femmes; </w:t>
      </w:r>
    </w:p>
    <w:p w:rsidR="009D2B59" w:rsidRPr="00A110D9" w:rsidP="005764ED" w14:paraId="78A1EEB0" w14:textId="77777777">
      <w:pPr>
        <w:pStyle w:val="NormalHanging12a"/>
      </w:pPr>
      <w:r w:rsidRPr="00A110D9">
        <w:t>114.</w:t>
      </w:r>
      <w:r w:rsidRPr="00A110D9">
        <w:tab/>
        <w:t xml:space="preserve">invite la Commission et les États membres à intégrer une approche sensible à la dimension de genre dans les politiques de santé cardiovasculaire en matière de prévention, de dépistage précoce, de diagnostic, de traitement et de réadaptation, notamment grâce à des campagnes de sensibilisation ciblées aux différences en fonction du genre dans les maladies cardiovasculaires, aux symptômes atypiques des femmes en matière cardiovasculaire et à l’accès à l’évaluation des risques cardiovasculaires pour les femmes tout au long de leur vie; invite une nouvelle fois la Commission et les États membres à institutionnaliser des protocoles de diagnostic sexospécifiques; demande la mise en place d’une formation clinique pour les professionnels de la santé sur les différences sexospécifiques en matière de physiopathologie et de réponse au traitement; </w:t>
      </w:r>
    </w:p>
    <w:p w:rsidR="009D2B59" w:rsidRPr="00A110D9" w:rsidP="005764ED" w14:paraId="774ECAE6" w14:textId="77777777">
      <w:pPr>
        <w:pStyle w:val="NormalHanging12a"/>
      </w:pPr>
      <w:r w:rsidRPr="00A110D9">
        <w:t>115.</w:t>
      </w:r>
      <w:r w:rsidRPr="00A110D9">
        <w:tab/>
        <w:t xml:space="preserve">demande à la Commission et aux États membres de faire figurer les pathologies spécifiques aux femmes dans l’évaluation et le contrôle des risques cardiovasculaires dans le cadre des soins de base prodigués aux femmes concernées; réclame la surveillance des facteurs de risque cardiovasculaire n’existant que chez les femmes, tels que la ménopause précoce, qu’elle soit naturelle ou provoquée, la prise de contraceptifs oraux, l’exposition prolongée à des œstrogènes endogènes, le syndrome des ovaires polykystiques, l’endométriose, le diabète gestationnel et les trouble hypertensifs liés à la grossesse, qui nécessitent tous une prise en charge spécifique; relève que les naissances prématurées constituent également un facteur de risque de développement d’une maladie cardiovasculaire, car elles témoignent d’une insuffisance placentaire et indiquent une dysfonction endothéliale; rappelle que les femmes transgenres qui ont suivi un traitement hormonal présentent un risque cardiovasculaire accru; demande que les antécédents génésiques et les facteurs personnels, notamment l’âge des premières règles, l’infertilité, les grossesses à issue défavorable, les parcours d’allaitement et la </w:t>
      </w:r>
      <w:r w:rsidRPr="00A110D9">
        <w:t>périménopause</w:t>
      </w:r>
      <w:r w:rsidRPr="00A110D9">
        <w:t xml:space="preserve">, soient systématiquement pris en compte dans l’évaluation et la prise en charge des risques cardiovasculaires dans le cadre des soins de base prodigués aux femmes; </w:t>
      </w:r>
    </w:p>
    <w:p w:rsidR="009D2B59" w:rsidRPr="00A110D9" w:rsidP="005764ED" w14:paraId="24CAC83A" w14:textId="77777777">
      <w:pPr>
        <w:pStyle w:val="NormalHanging12a"/>
      </w:pPr>
      <w:r w:rsidRPr="00A110D9">
        <w:t>116.</w:t>
      </w:r>
      <w:r w:rsidRPr="00A110D9">
        <w:tab/>
        <w:t xml:space="preserve">demande à la Commission de publier des orientations cliniques tenant compte de la dimension de genre et de renforcer les exigences relatives à l’inclusion des femmes dans </w:t>
      </w:r>
      <w:r w:rsidRPr="00A110D9">
        <w:t xml:space="preserve">la recherche cardiovasculaire financée par des fonds publics; </w:t>
      </w:r>
      <w:bookmarkStart w:id="8" w:name="_Hlk234313462"/>
      <w:r w:rsidRPr="00A110D9">
        <w:t>invite la Commission à rendre obligatoires la collecte, l’analyse et la publication de données ventilées par genre dans tous les travaux de recherche, programmes et initiatives de santé numérique financés par l’Union dans le domaine cardiovasculaire, afin de déceler systématiquement les lacunes en matière de diagnostic et d’éliminer les biais sexistes dans les soins cardiovasculaires;</w:t>
      </w:r>
      <w:bookmarkEnd w:id="8"/>
      <w:r w:rsidRPr="00A110D9">
        <w:t xml:space="preserve"> </w:t>
      </w:r>
    </w:p>
    <w:p w:rsidR="009D2B59" w:rsidRPr="00A110D9" w:rsidP="005764ED" w14:paraId="1270177D" w14:textId="77777777">
      <w:pPr>
        <w:pStyle w:val="NormalHanging12a"/>
      </w:pPr>
      <w:r w:rsidRPr="00A110D9">
        <w:t>117.</w:t>
      </w:r>
      <w:r w:rsidRPr="00A110D9">
        <w:tab/>
        <w:t xml:space="preserve">souligne que la santé génésique et maternelle est intrinsèquement liée à la santé cardiovasculaire et appelle à lutter contre le sous-investissement chronique dans la recherche sur les pathologies spécifiques aux femmes, y compris les questions de santé génésique, gynécologique et </w:t>
      </w:r>
      <w:r w:rsidRPr="00A110D9">
        <w:t>maternelle;</w:t>
      </w:r>
    </w:p>
    <w:p w:rsidR="009D2B59" w:rsidRPr="00A110D9" w:rsidP="005764ED" w14:paraId="7141D5A6" w14:textId="77777777">
      <w:pPr>
        <w:pStyle w:val="NormalHanging12a"/>
      </w:pPr>
      <w:r w:rsidRPr="00A110D9">
        <w:t>118.</w:t>
      </w:r>
      <w:r w:rsidRPr="00A110D9">
        <w:tab/>
        <w:t>souligne qu’il est urgent de remédier à la sous-représentation des femmes dans la recherche et les essais cliniques dans le domaine cardiovasculaire en adoptant des stratégies claires visant à améliorer la parité hommes-femmes dans la conception des études, le recrutement et l’analyse, y compris en assurant la publication de rapports ventilés par genre et en veillant à ce que toutes les femmes soient représentées de manière adéquate, quel que soit leur âge et l’étape de vie où elles se trouvent; appelle en outre de ses vœux que toutes les autorisations de dispositifs médicaux dans le domaine de la cardiologie interventionnelle et de l’électrophysiologie reposent sur des données ventilées par genre; demande un financement adéquat pour la recherche cardiovasculaire sexospécifique, y compris la recherche sur les facteurs de risque spécifiques aux femmes liés à la grossesse, à la ménopause et aux influences hormonales; souligne la nécessité de développer des stratégies de recherche et de prévention concernant la symptomatologie cardiovasculaire, la progression des maladies et les réponses au traitement chez les femmes, y compris pour les maladies cardiaques congénitales et liées à la grossesse, afin de garantir que les soins soient fondés sur des données probantes et adaptés au genre et pour éclairer le développement des nouvelles technologies de la santé;</w:t>
      </w:r>
    </w:p>
    <w:p w:rsidR="009D2B59" w:rsidRPr="00A110D9" w:rsidP="005764ED" w14:paraId="05AE26D6" w14:textId="77777777">
      <w:pPr>
        <w:pStyle w:val="NormalHanging12a"/>
      </w:pPr>
      <w:r w:rsidRPr="00A110D9">
        <w:t>119.</w:t>
      </w:r>
      <w:r w:rsidRPr="00A110D9">
        <w:tab/>
        <w:t xml:space="preserve">invite les États membres à veiller à l’inclusion, dans les services de santé sexuelle et génésique, d’un dépistage systématique des maladies infectieuses responsables de troubles cardiaques chez toutes les femmes en âge de procréer, y compris les femmes </w:t>
      </w:r>
      <w:r w:rsidRPr="00A110D9">
        <w:t>enceintes;</w:t>
      </w:r>
      <w:r w:rsidRPr="00A110D9">
        <w:t xml:space="preserve"> souligne que ces mesures contribuent à prévenir le développement de maladies cardiaques graves et à enrayer la transmission verticale des infections; </w:t>
      </w:r>
    </w:p>
    <w:p w:rsidR="009D2B59" w:rsidRPr="00A110D9" w:rsidP="005764ED" w14:paraId="05149804" w14:textId="77777777">
      <w:pPr>
        <w:pStyle w:val="NormalHanging12a"/>
        <w:ind w:left="360" w:hanging="360"/>
        <w:rPr>
          <w:b/>
          <w:bCs/>
          <w:smallCaps/>
        </w:rPr>
      </w:pPr>
      <w:r w:rsidRPr="00A110D9">
        <w:rPr>
          <w:b/>
          <w:smallCaps/>
        </w:rPr>
        <w:t>Inégalités sociales et régionales</w:t>
      </w:r>
    </w:p>
    <w:p w:rsidR="009D2B59" w:rsidRPr="00A110D9" w:rsidP="005764ED" w14:paraId="021894BE" w14:textId="77777777">
      <w:pPr>
        <w:pStyle w:val="NormalHanging12a"/>
      </w:pPr>
      <w:r w:rsidRPr="00A110D9">
        <w:t>120.</w:t>
      </w:r>
      <w:r w:rsidRPr="00A110D9">
        <w:tab/>
        <w:t xml:space="preserve">souligne que les mesures visant à réduire les maladies cardiovasculaires et les autres maladies non transmissibles associées doivent s’attaquer explicitement aux inégalités sociales et régionales, telles que les disparités entre les zones urbaines et rurales, dont les déserts médicaux, et les disparités qui touchent les groupes vulnérables et marginalisés, tels que les personnes vivant dans la pauvreté, les personnes ayant vécu dans des zones où sévissent de manière endémique des maladies infectieuses entraînant des pathologies cardiovasculaires et les personnes occupant un emploi précaire; appelle à des interventions ciblées, de proximité et menées par les services de soins primaires, afin de garantir un accès équitable à la prévention, au dépistage précoce et aux soins, notamment grâce à des mesures qui améliorent l’accès à une alimentation saine et abordable, à des espaces sûrs et accessibles pour la pratique d’une activité physique, ainsi qu’à une éducation ciblée à la santé et à la prévention; souligne que l’insuffisance de couverture par une assurance maladie peut empêcher les personnes appartenant à des </w:t>
      </w:r>
      <w:r w:rsidRPr="00A110D9">
        <w:t xml:space="preserve">groupes vulnérables d’accéder à la prévention et au traitement des maladies cardiovasculaires; </w:t>
      </w:r>
    </w:p>
    <w:p w:rsidR="009D2B59" w:rsidRPr="00A110D9" w:rsidP="005764ED" w14:paraId="040EF4D9" w14:textId="77777777">
      <w:pPr>
        <w:pStyle w:val="NormalHanging12a"/>
      </w:pPr>
      <w:r w:rsidRPr="00A110D9">
        <w:t>121.</w:t>
      </w:r>
      <w:r w:rsidRPr="00A110D9">
        <w:tab/>
        <w:t xml:space="preserve">souligne que la solidarité entre les États membres est essentielle pour lutter contre les maladies cardiovasculaires, en particulier dans le cadre des soins de santé transfrontaliers et de la mobilité du personnel de santé; invite les États membres à renforcer la mise en œuvre effective du cadre de l’Union relatif aux soins de santé transfrontaliers, afin de permettre aux patients d’accéder à des traitements et à des interventions chirurgicales dans d’autres États membres lorsque ces soins ne peuvent être fournis en temps utile dans l’État membre où ils vivent; </w:t>
      </w:r>
    </w:p>
    <w:p w:rsidR="009D2B59" w:rsidRPr="00A110D9" w:rsidP="005764ED" w14:paraId="4CD3E8AC" w14:textId="77777777">
      <w:pPr>
        <w:pStyle w:val="NormalHanging12a"/>
      </w:pPr>
      <w:r w:rsidRPr="00A110D9">
        <w:t>122.</w:t>
      </w:r>
      <w:r w:rsidRPr="00A110D9">
        <w:tab/>
        <w:t xml:space="preserve">préconise une coopération avec les pays candidats et candidats potentiels à l’adhésion afin de soutenir le développement de systèmes de surveillance, de registres et de normes de formation interopérables en matière de maladies cardiovasculaires et d’arrêts cardiaques, conformément aux règles de l’Union en matière de protection des données et aux cadres scientifiques européens et internationaux reconnus, en vue d’améliorer la préparation, la comparabilité et l’intégration à long terme dans les initiatives de l’Union en matière de santé; </w:t>
      </w:r>
    </w:p>
    <w:p w:rsidR="009D2B59" w:rsidRPr="00A110D9" w:rsidP="005764ED" w14:paraId="7891F606" w14:textId="77777777">
      <w:pPr>
        <w:pStyle w:val="NormalHanging12a"/>
      </w:pPr>
      <w:r w:rsidRPr="00A110D9">
        <w:t>123.</w:t>
      </w:r>
      <w:r w:rsidRPr="00A110D9">
        <w:tab/>
        <w:t xml:space="preserve">demande que le financement de l’Union soit utilisé de manière stratégique pour réduire les inégalités en matière de santé cardiovasculaire, notamment en investissant dans des programmes de prévention, tels que des infrastructures d’immunisation et de dépistage médical, ainsi que des capacités en matière de personnel de santé, dans les zones défavorisées, et pour renforcer les capacités en matière de soins primaires et de réadaptation, en particulier pour les populations telles que celles vivant dans des régions rurales ou mal dotées; souligne que la réduction des inégalités en matière de santé cardiovasculaire dépend également de la capacité administrative des États membres à concevoir et à réaliser des investissements; plaide en faveur du renforcement de l’assistance technique, de l’échange de bonnes pratiques et de l’accès au financement de l’Union pour les zones qui connaissent des lacunes persistantes en matière de santé et d’infrastructures; </w:t>
      </w:r>
    </w:p>
    <w:p w:rsidR="009D2B59" w:rsidRPr="00A110D9" w:rsidP="005764ED" w14:paraId="12983626" w14:textId="77777777">
      <w:pPr>
        <w:pStyle w:val="NormalHanging12a"/>
      </w:pPr>
      <w:r w:rsidRPr="00A110D9">
        <w:t>124.</w:t>
      </w:r>
      <w:r w:rsidRPr="00A110D9">
        <w:tab/>
        <w:t xml:space="preserve">invite la Commission à créer une mission de l’Union dédiée à la prévention des maladies cardiovasculaires et à la lutte contre les inégalités en la matière, qui rassemble un groupe de travail au niveau de l’Union formé d’autorités publiques, d’experts scientifiques, de représentants de la société civile et d’acteurs industriels concernés, en coordination avec les instances de l’Union compétentes, afin d’appuyer les États membres au moyen de données, de favoriser un dialogue structuré, de partager des données probantes et de fournir des recommandations fondées sur des données probantes afin d’encourager l’élaboration et la mise en œuvre de mesures efficaces et responsables visant à améliorer la santé cardiovasculaire et à remédier aux lacunes en matière d’inégalités; </w:t>
      </w:r>
    </w:p>
    <w:p w:rsidR="009D2B59" w:rsidRPr="00A110D9" w:rsidP="005764ED" w14:paraId="74620DEB" w14:textId="77777777">
      <w:pPr>
        <w:pStyle w:val="NormalHanging12a"/>
        <w:rPr>
          <w:i/>
          <w:iCs/>
        </w:rPr>
      </w:pPr>
      <w:r w:rsidRPr="00A110D9">
        <w:rPr>
          <w:i/>
        </w:rPr>
        <w:t>VII. Santé numérique, données et intelligence artificielle</w:t>
      </w:r>
    </w:p>
    <w:p w:rsidR="009D2B59" w:rsidRPr="00A110D9" w:rsidP="005764ED" w14:paraId="70BCE076" w14:textId="77777777">
      <w:pPr>
        <w:pStyle w:val="NormalHanging12a"/>
      </w:pPr>
      <w:r w:rsidRPr="00A110D9">
        <w:t>125.</w:t>
      </w:r>
      <w:r w:rsidRPr="00A110D9">
        <w:tab/>
        <w:t xml:space="preserve">est favorable à l’utilisation responsable d’outils numériques, de la télémédecine, d’appareils portables et de solutions fondées sur des données à des fins de prévention, de dépistage précoce, de diagnostic, de soins et de réadaptation dans le domaine cardiovasculaire en complément des soins en personne; souligne que la numérisation devrait renforcer la continuité des soins, la prise de décisions cliniques et l’autonomisation des patients, dans le plein respect de leurs droits, dont le consentement </w:t>
      </w:r>
      <w:r w:rsidRPr="00A110D9">
        <w:t xml:space="preserve">éclairé, le respect de la vie privée, la protection des données et l’équité d’accès aux soins, et qu’elle ne doit pas accroître la fragmentation des services ni exonérer les systèmes de santé de leurs responsabilités; reconnaît que les outils numériques et l’intelligence artificielle peuvent améliorer l’accès aux soins dans les zones rurales ou isolées; souligne le rôle des dispositifs médicaux accessibles, abordables et conviviaux et des outils de suivi à distance dans la prévention secondaire; souligne la nécessité d’améliorer les connaissances de la population dans les domaines du numérique et de la santé et d’empêcher l’exclusion numérique, de sorte qu’aucun patient ne soit défavorisé en raison de son âge, de son statut socio-économique ou de ses compétences numériques; met l’accent sur le potentiel des solutions de santé numériques intégrées, y compris des outils et applications centrés sur le patient, pour compléter la prévention, le suivi et la prise en charge à long terme des maladies cardiovasculaires, dans le respect de l’autonomie et des choix des patients; fait observer que les enseignements tirés des projets soutenus par l’Union dans le domaine des soins numériques contre le cancer et de la survie au cancer peuvent contribuer à mettre en évidence les synergies, la possibilité d’adaptation et l’autonomisation des patients dans tous les domaines thérapeutiques; </w:t>
      </w:r>
    </w:p>
    <w:p w:rsidR="009D2B59" w:rsidRPr="00A110D9" w:rsidP="005764ED" w14:paraId="18FC04E2" w14:textId="77777777">
      <w:pPr>
        <w:pStyle w:val="NormalHanging12a"/>
      </w:pPr>
      <w:bookmarkStart w:id="9" w:name="_Hlk234253615"/>
      <w:r w:rsidRPr="00A110D9">
        <w:t>126.</w:t>
      </w:r>
      <w:r w:rsidRPr="00A110D9">
        <w:tab/>
        <w:t xml:space="preserve">invite les États membres à réfléchir à la manière dont les outils numériques et l’intelligence artificielle peuvent améliorer véritablement et en toute sécurité la qualité des systèmes de santé nationaux; demande que les mesures de financement de l’Union soient mises à profit, le cas échéant, pour favoriser l’utilisation de ces outils; souligne que le principal défi de l’innovation numérique en matière cardiovasculaire fondée sur l’intelligence artificielle ne réside pas dans le manque de technologies, mais dans la persistance d’un décalage entre les projets pilotes et leur mise en œuvre concrète, ainsi que dans la garantie de leur emploi éthique; invite la Commission et les États membres à donner la priorité à l’intégration diligente et fondée sur des données probantes de solutions numériques éprouvées et validées dans les parcours de soins courants, la formation du personnel et les processus de travail des systèmes de santé; invite, en particulier, la Commission et les États membres à faciliter et à promouvoir l’utilisation d’appareils de surveillance portables et à distance ainsi que d’outils reposant sur l’intelligence artificielle dans le domaine de la prévention, du dépistage précoce et de la prise en charge des maladies cardiovasculaires lorsqu’ils présentent des bénéfices cliniques patents et sont respectueux de la sécurité et des droits des patients; souligne que les technologies numériques et innovantes, y compris l’intelligence artificielle, peuvent permettre de personnaliser davantage les soins, d’améliorer le diagnostic précoce, de réduire les inégalités en matière de santé et de renforcer les soins de santé cardiovasculaire centrés sur le patient; </w:t>
      </w:r>
    </w:p>
    <w:bookmarkEnd w:id="9"/>
    <w:p w:rsidR="009D2B59" w:rsidRPr="00A110D9" w:rsidP="005764ED" w14:paraId="175408E1" w14:textId="77777777">
      <w:pPr>
        <w:pStyle w:val="NormalHanging12a"/>
      </w:pPr>
      <w:r w:rsidRPr="00A110D9">
        <w:t>127.</w:t>
      </w:r>
      <w:r w:rsidRPr="00A110D9">
        <w:tab/>
        <w:t xml:space="preserve">reconnaît que la médecine de précision moderne peut contribuer à lutter contre les maladies cardiovasculaires grâce à des mesures de prévention, de diagnostic et de traitement adaptées à chaque individu, fondées sur la situation génétique particulière de chaque </w:t>
      </w:r>
      <w:r w:rsidRPr="00A110D9">
        <w:t>personne;</w:t>
      </w:r>
      <w:r w:rsidRPr="00A110D9">
        <w:t xml:space="preserve"> </w:t>
      </w:r>
    </w:p>
    <w:p w:rsidR="009D2B59" w:rsidRPr="00A110D9" w:rsidP="005764ED" w14:paraId="0DE54AC0" w14:textId="77777777">
      <w:pPr>
        <w:pStyle w:val="NormalHanging12a"/>
      </w:pPr>
      <w:r w:rsidRPr="00A110D9">
        <w:t>128.</w:t>
      </w:r>
      <w:r w:rsidRPr="00A110D9">
        <w:tab/>
        <w:t xml:space="preserve">invite la Commission et les États membres à renforcer les compétences numériques des professionnels de la santé en intégrant une formation spécifique à la cardiologie numérique, couvrant notamment les diagnostics assistés par l’intelligence artificielle, et des programmes d’apprentissage par simulation et de formation au numérique, à la fois dans la formation médicale initiale et dans la formation professionnelle continue; souligne qu’il est essentiel de doter le personnel de santé cardiovasculaire de ces compétences afin de garantir une utilisation sûre, efficace et éthique des nouveaux outils </w:t>
      </w:r>
      <w:r w:rsidRPr="00A110D9">
        <w:t xml:space="preserve">numériques et assistés par l’intelligence artificielle dans la pratique clinique; </w:t>
      </w:r>
    </w:p>
    <w:p w:rsidR="009D2B59" w:rsidRPr="00A110D9" w:rsidP="005764ED" w14:paraId="30716544" w14:textId="77777777">
      <w:pPr>
        <w:pStyle w:val="NormalHanging12a"/>
      </w:pPr>
      <w:r w:rsidRPr="00A110D9">
        <w:t>129.</w:t>
      </w:r>
      <w:r w:rsidRPr="00A110D9">
        <w:tab/>
        <w:t xml:space="preserve">souligne que, s’ils sont gérés correctement, les outils numériques peuvent aussi faire évoluer les systèmes de soins de santé en permettant de recueillir en permanence des données, d’améliorer la qualité des soins et d’adapter les soins à toutes les </w:t>
      </w:r>
      <w:r w:rsidRPr="00A110D9">
        <w:t>populations;</w:t>
      </w:r>
      <w:r w:rsidRPr="00A110D9">
        <w:t xml:space="preserve"> </w:t>
      </w:r>
    </w:p>
    <w:p w:rsidR="009D2B59" w:rsidRPr="00A110D9" w:rsidP="005764ED" w14:paraId="0946C06B" w14:textId="77777777">
      <w:pPr>
        <w:pStyle w:val="NormalHanging12a"/>
      </w:pPr>
      <w:r w:rsidRPr="00A110D9">
        <w:t xml:space="preserve"> 130.</w:t>
      </w:r>
      <w:r w:rsidRPr="00A110D9">
        <w:tab/>
        <w:t xml:space="preserve">appelle à une gouvernance publique et à des garanties, ainsi qu’à des orientations et des normes, qui soient fortes en matière de santé numérique et d’intelligence artificielle, y compris en ce qui concerne le respect de la vie privée, les normes éthiques, le contrôle humain, la transparence, la responsabilité, les exigences en termes de preuves cliniques fondées sur des données réelles et représentatives, la validation clinique et la surveillance après la mise sur le marché, et des mesures visant à prévenir les biais et l’exploitation commerciale indue; </w:t>
      </w:r>
    </w:p>
    <w:p w:rsidR="009D2B59" w:rsidRPr="00A110D9" w:rsidP="005764ED" w14:paraId="7A506CC2" w14:textId="77777777">
      <w:pPr>
        <w:pStyle w:val="NormalHanging12a"/>
      </w:pPr>
      <w:r w:rsidRPr="00A110D9">
        <w:t>131.</w:t>
      </w:r>
      <w:r w:rsidRPr="00A110D9">
        <w:tab/>
        <w:t xml:space="preserve">appelle à la mise en place de dossiers médicaux numériques accessibles, sécurisés et interopérables afin de favoriser la continuité des soins, la mise en place de stratégies de prévention, la préparation en matière de santé et la surveillance; demande que ces dossiers médicaux numériques soient intégrés dans l’espace européen des données de santé, qui devrait être également mis à profit pour le suivi, l’amélioration de la qualité, la recherche et l’innovation, en vue de garantir des normes communes et une participation équitable dans l’ensemble des États membres, de permettre un accès transfrontière, de renforcer l’adoption de mesures préventives et d’appuyer l’élaboration de politiques fondées sur des données probantes, dans le plein respect de la protection des données à caractère personnel, du consentement dûment éclairé des patients et de la transparence quant à l’utilisation des données, grâce à des garanties efficaces contre les usages indus; souligne qu’il est important de faire figurer dans ces dossiers médicaux numériques des données sur la qualité des soins, des résultats pertinents pour les patients et des données ventilées par âge et par genre, avec des exigences particulières pour les données de santé liées à la grossesse, afin de refléter les parcours, les besoins et les résultats associés aux différents groupes; </w:t>
      </w:r>
    </w:p>
    <w:p w:rsidR="009D2B59" w:rsidRPr="00A110D9" w:rsidP="005764ED" w14:paraId="7A694EE7" w14:textId="77777777">
      <w:pPr>
        <w:pStyle w:val="NormalHanging12a"/>
      </w:pPr>
      <w:r w:rsidRPr="00A110D9">
        <w:t>132.</w:t>
      </w:r>
      <w:r w:rsidRPr="00A110D9">
        <w:tab/>
        <w:t xml:space="preserve">prône une amélioration, au niveau de l’Union européenne, de la collecte et de la comparabilité des données relatives aux maladies cardiovasculaires et aux troubles cardiaques, y compris des données ventilées par genre, âge, situation socio-économique, niveau d’éducation, zone géographique et autres caractéristiques pertinentes; souligne qu’il est essentiel de disposer de données de qualité, complètes et représentatives pour mettre en place des politiques de prévention efficaces, assurer un dépistage précoce équitable et développer des systèmes numériques et d’intelligence artificielle fiables et impartiaux; </w:t>
      </w:r>
    </w:p>
    <w:p w:rsidR="009D2B59" w:rsidRPr="00A110D9" w:rsidP="005764ED" w14:paraId="3504DAA5" w14:textId="77777777">
      <w:pPr>
        <w:pStyle w:val="NormalHanging12a"/>
      </w:pPr>
      <w:r w:rsidRPr="00A110D9">
        <w:t>133.</w:t>
      </w:r>
      <w:r w:rsidRPr="00A110D9">
        <w:tab/>
        <w:t xml:space="preserve">estime que les dispositifs de surveillance et les registres relatifs aux maladies cardiovasculaires devraient être intégrés dans les systèmes nationaux d’information sur la santé, en garantissant l’interopérabilité et le suivi des données pertinentes sur les facteurs de risque, les parcours de soins et les résultats, et en assurant la mise en relation de ces données; souligne que les registres devraient servir non seulement les soins cliniques et la recherche, mais aussi le suivi des inégalités en matière d’accès, de qualité des soins et de résultats en matière de santé; </w:t>
      </w:r>
    </w:p>
    <w:p w:rsidR="009D2B59" w:rsidRPr="00A110D9" w:rsidP="005764ED" w14:paraId="1644C6FB" w14:textId="77777777">
      <w:pPr>
        <w:pStyle w:val="NormalHanging12a"/>
      </w:pPr>
      <w:r w:rsidRPr="00A110D9">
        <w:t>134.</w:t>
      </w:r>
      <w:r w:rsidRPr="00A110D9">
        <w:tab/>
        <w:t xml:space="preserve">invite la Commission à aider les États membres, notamment au moyen de l’espace européen des données de santé, du programme «L’UE pour la santé», du programme pour une Europe numérique et des instruments d’assistance technique, à renforcer les </w:t>
      </w:r>
      <w:r w:rsidRPr="00A110D9">
        <w:t xml:space="preserve">capacités numériques, de gouvernance et de main-d’œuvre nécessaires au déploiement sûr, efficace et équitable de solutions numériques fondées sur l’intelligence artificielle dans le domaine de la santé cardiovasculaire, tout en luttant activement contre l’exclusion numérique et en répondant aux besoins spécifiques des populations; </w:t>
      </w:r>
    </w:p>
    <w:p w:rsidR="009D2B59" w:rsidRPr="00A110D9" w:rsidP="005764ED" w14:paraId="67925942" w14:textId="77777777">
      <w:pPr>
        <w:pStyle w:val="NormalHanging12a"/>
      </w:pPr>
      <w:r w:rsidRPr="00A110D9">
        <w:t>135.</w:t>
      </w:r>
      <w:r w:rsidRPr="00A110D9">
        <w:tab/>
        <w:t xml:space="preserve">reconnaît que plusieurs États membres disposent déjà de registres fonctionnels et </w:t>
      </w:r>
      <w:r w:rsidRPr="00A110D9">
        <w:t>élaborés;</w:t>
      </w:r>
      <w:r w:rsidRPr="00A110D9">
        <w:t xml:space="preserve"> appelle de ses vœux la création d’un pôle de connaissances de l’Union sur la santé cardiovasculaire afin d’accélérer l’intégration des registres de santé cardiovasculaire existants, de partager les bonnes pratiques de favoriser l’harmonisation et l’accessibilité des données; </w:t>
      </w:r>
    </w:p>
    <w:p w:rsidR="009D2B59" w:rsidRPr="00A110D9" w:rsidP="005764ED" w14:paraId="74771D27" w14:textId="77777777">
      <w:pPr>
        <w:pStyle w:val="NormalHanging12a"/>
        <w:rPr>
          <w:i/>
          <w:iCs/>
        </w:rPr>
      </w:pPr>
      <w:r w:rsidRPr="00A110D9">
        <w:rPr>
          <w:i/>
        </w:rPr>
        <w:t>VIII. Recherche et innovation</w:t>
      </w:r>
    </w:p>
    <w:p w:rsidR="009D2B59" w:rsidRPr="00A110D9" w:rsidP="005764ED" w14:paraId="18A65BC1" w14:textId="77777777">
      <w:pPr>
        <w:pStyle w:val="NormalHanging12a"/>
      </w:pPr>
      <w:r w:rsidRPr="00A110D9">
        <w:t>136.</w:t>
      </w:r>
      <w:r w:rsidRPr="00A110D9">
        <w:tab/>
        <w:t xml:space="preserve">constate que, malgré les investissements de l’Union dans le cadre d’Horizon Europe et d’autres programmes, les maladies cardiovasculaires et d’autres pathologies associées continuent de pâtir d’un déficit persistant en matière de recherche et d’innovation et d’obstacles structurels, ce qui appelle des solutions coordonnées au niveau de l’Union; relève que, malgré la fréquence des maladies cardiovasculaires, les financements de l’Union accordés à la recherche dans ce domaine n’atteignent pas 5 % du total des financements de la recherche en matière de santé accordés dans le cadre d’Horizon Europe; préconise l’adoption de mesures pour renforcer la recherche indépendante dans le domaine cardiovasculaire, sur tout le spectre qui va de la prévention et du dépistage précoce à l’optimisation des traitements et à la réadaptation; est favorable à des recherches sur l’accès aux soins de longue durée, la participation des populations et le soutien à la qualité de vie des personnes vivant avec des conséquences de long terme de maladies cardiovasculaires; réclame en outre que des recherches spécifiques soient menées sur les maladies cardiovasculaires congénitales, héréditaires et rares des enfants, adolescents et jeunes adultes; rappelle qu’il est nécessaire de numériser les données de santé de l’Union afin de faciliter la recherche dans le domaine de l’intelligence artificielle; </w:t>
      </w:r>
    </w:p>
    <w:p w:rsidR="009D2B59" w:rsidRPr="00A110D9" w:rsidP="005764ED" w14:paraId="411AB4E2" w14:textId="77777777">
      <w:pPr>
        <w:pStyle w:val="NormalHanging12a"/>
      </w:pPr>
      <w:r w:rsidRPr="00A110D9">
        <w:t>137.</w:t>
      </w:r>
      <w:r w:rsidRPr="00A110D9">
        <w:tab/>
        <w:t xml:space="preserve">souligne que les innovations dans le domaine des traitements cardiovasculaires devraient être répercutées dans les pratiques cliniques à l’appui des objectifs de l’Union en matière de prévention et de soins; appelle à un soutien accru à l’innovation dans le domaine des technologies médicales, y compris dans les mécanismes visant à accélérer la mise en pratique, par exemple des programmes pilotes, la recherche sur la mise en œuvre et les investissements dans les infrastructures de recherche dans le domaine cardiovasculaire; </w:t>
      </w:r>
    </w:p>
    <w:p w:rsidR="009D2B59" w:rsidRPr="00A110D9" w:rsidP="005764ED" w14:paraId="389A1DAA" w14:textId="77777777">
      <w:pPr>
        <w:pStyle w:val="NormalHanging12a"/>
      </w:pPr>
      <w:r w:rsidRPr="00A110D9">
        <w:t>138.</w:t>
      </w:r>
      <w:r w:rsidRPr="00A110D9">
        <w:tab/>
        <w:t xml:space="preserve">appelle à un financement de la recherche et de l’innovation par l’Union pour mieux soutenir les approches interdisciplinaires et intersectorielles, y compris au moyen de partenariats public-privé; préconise que cette recherche et ces financements favorisent la recherche sur les liens entre les maladies cardiovasculaires, le diabète, l’obésité, la stéatose hépatique associée à un dysfonctionnement métabolique, les maladies rénales et d’autres comorbidités, ainsi que sur le rôle de l’alimentation, des expositions environnementales, des déterminants sociaux de la santé et des facteurs de risque sexospécifiques; </w:t>
      </w:r>
    </w:p>
    <w:p w:rsidR="009D2B59" w:rsidRPr="00A110D9" w:rsidP="005764ED" w14:paraId="0B70DB40" w14:textId="77777777">
      <w:pPr>
        <w:pStyle w:val="NormalHanging12a"/>
      </w:pPr>
      <w:r w:rsidRPr="00A110D9">
        <w:t>139.</w:t>
      </w:r>
      <w:r w:rsidRPr="00A110D9">
        <w:tab/>
        <w:t xml:space="preserve">insiste sur le fait que la recherche financée par des fonds publics doit présenter un intérêt public manifeste, notamment en garantissant le libre accès aux résultats, dont découlent des innovations abordables et un accès équitable pour les patients dans tous </w:t>
      </w:r>
      <w:r w:rsidRPr="00A110D9">
        <w:t xml:space="preserve">les États </w:t>
      </w:r>
      <w:r w:rsidRPr="00A110D9">
        <w:t>membres;</w:t>
      </w:r>
      <w:r w:rsidRPr="00A110D9">
        <w:t xml:space="preserve"> </w:t>
      </w:r>
    </w:p>
    <w:p w:rsidR="009D2B59" w:rsidRPr="00A110D9" w:rsidP="005764ED" w14:paraId="0397ED96" w14:textId="77777777">
      <w:pPr>
        <w:pStyle w:val="NormalHanging12a"/>
      </w:pPr>
      <w:r w:rsidRPr="00A110D9">
        <w:t>140.</w:t>
      </w:r>
      <w:r w:rsidRPr="00A110D9">
        <w:tab/>
        <w:t xml:space="preserve">reconnaît la contribution du secteur des sciences de la vie au renforcement des capacités de recherche de l’Union sur les maladies cardiovasculaires, et son importance pour la compétitivité européenne; invite les États membres et la Commission à collaborer avec le secteur des sciences de la vie dans l’Union afin de promouvoir la recherche et l’innovation, de sorte à mobiliser des capitaux publics et privés pour soutenir la recherche et le développement dans le domaine des maladies cardiovasculaires; souligne que la recherche et l’innovation doivent se traduire par des applications cliniques, en soutenant les passages de la recherche à la commercialisation dans le secteur innovant des sciences de la vie dans l’Union, de sorte à offrir des traitements plus efficaces aux patients; </w:t>
      </w:r>
    </w:p>
    <w:p w:rsidR="009D2B59" w:rsidRPr="00A110D9" w:rsidP="005764ED" w14:paraId="768243F8" w14:textId="77777777">
      <w:pPr>
        <w:pStyle w:val="NormalHanging12a"/>
      </w:pPr>
      <w:r w:rsidRPr="00A110D9">
        <w:t>141.</w:t>
      </w:r>
      <w:r w:rsidRPr="00A110D9">
        <w:tab/>
        <w:t xml:space="preserve">invite la Commission et les États membres à soutenir la recherche, l’innovation, la production et la commercialisation de denrées alimentaires nutritives afin d’améliorer la qualité de l’alimentation et de réduire la charge que représentent les maladies </w:t>
      </w:r>
      <w:r w:rsidRPr="00A110D9">
        <w:t>cardiovasculaires;</w:t>
      </w:r>
      <w:r w:rsidRPr="00A110D9">
        <w:t xml:space="preserve"> </w:t>
      </w:r>
    </w:p>
    <w:p w:rsidR="009D2B59" w:rsidRPr="00A110D9" w:rsidP="005764ED" w14:paraId="7E766EEF" w14:textId="77777777">
      <w:pPr>
        <w:pStyle w:val="NormalHanging12a"/>
      </w:pPr>
      <w:r w:rsidRPr="00A110D9">
        <w:t>142.</w:t>
      </w:r>
      <w:r w:rsidRPr="00A110D9">
        <w:tab/>
        <w:t>invite la Commission et les États membres à placer l’approche «Une seule santé» (recherche, données sanitaires, prévention) au cœur de la politique en matière de maladies cardiovasculaires, notamment en renforçant la collaboration intersectorielle et la surveillance dans les domaines de la santé humaine, animale et environnementale afin de mieux prévenir et réduire les risques de maladies cardiovasculaires liés à des expositions cumulées; demande qu’un programme ambitieux de recherche et d’innovation sur l’</w:t>
      </w:r>
      <w:r w:rsidRPr="00A110D9">
        <w:t>exposome</w:t>
      </w:r>
      <w:r w:rsidRPr="00A110D9">
        <w:t xml:space="preserve"> soit mis en place, notamment dans le cadre d’Horizon Europe, afin d’améliorer les données disponibles sur les expositions cumulées et leurs liens avec les maladies cardiovasculaires, et souligne que les résultats devraient se traduire par l’élaboration de politiques axées sur la prévention qui soient cohérentes avec les objectifs de pollution zéro, par la mise en œuvre et l’application des normes environnementales et sanitaires et par l’application du principe de précaution, le cas échéant; </w:t>
      </w:r>
    </w:p>
    <w:p w:rsidR="009D2B59" w:rsidRPr="00A110D9" w:rsidP="005764ED" w14:paraId="208AD21E" w14:textId="77777777">
      <w:pPr>
        <w:pStyle w:val="NormalHanging12a"/>
      </w:pPr>
      <w:r w:rsidRPr="00A110D9">
        <w:t>143.</w:t>
      </w:r>
      <w:r w:rsidRPr="00A110D9">
        <w:tab/>
        <w:t>accueille favorablement la proposition de la Commission de règlement européen sur les biotechnologies</w:t>
      </w:r>
      <w:r>
        <w:rPr>
          <w:rStyle w:val="FootnoteReference"/>
        </w:rPr>
        <w:footnoteReference w:id="49"/>
      </w:r>
      <w:r w:rsidRPr="00A110D9">
        <w:t xml:space="preserve">; note qu’il est essentiel de prévoir une plus grande souplesse réglementaire, de simplifier les procédures administratives et de garantir des droits de propriété intellectuelle solides pour stimuler davantage la recherche et l’innovation dans l’Union, y compris dans le domaine des maladies </w:t>
      </w:r>
      <w:r w:rsidRPr="00A110D9">
        <w:t>cardiovasculaires;</w:t>
      </w:r>
      <w:r w:rsidRPr="00A110D9">
        <w:t xml:space="preserve"> </w:t>
      </w:r>
    </w:p>
    <w:p w:rsidR="009D2B59" w:rsidRPr="00A110D9" w:rsidP="005764ED" w14:paraId="08AB9627" w14:textId="77777777">
      <w:pPr>
        <w:pStyle w:val="NormalHanging12a"/>
      </w:pPr>
      <w:r w:rsidRPr="00A110D9">
        <w:t>144.</w:t>
      </w:r>
      <w:r w:rsidRPr="00A110D9">
        <w:tab/>
        <w:t xml:space="preserve">demande que la coopération entre les États membres en matière d’évaluation clinique des nouvelles technologies de santé continue d’être renforcée grâce au règlement de </w:t>
      </w:r>
      <w:r w:rsidRPr="00A110D9">
        <w:t>l’Union sur l’évaluation des technologies de santé</w:t>
      </w:r>
      <w:r>
        <w:rPr>
          <w:rStyle w:val="FootnoteReference"/>
        </w:rPr>
        <w:footnoteReference w:id="50"/>
      </w:r>
      <w:r w:rsidRPr="00A110D9">
        <w:t xml:space="preserve">, en particulier en ce qui concerne les dispositifs médicaux à haut risque et les dispositifs implantables destinés au traitement des maladies </w:t>
      </w:r>
      <w:r w:rsidRPr="00A110D9">
        <w:t>cardiovasculaires;</w:t>
      </w:r>
    </w:p>
    <w:p w:rsidR="009D2B59" w:rsidRPr="00A110D9" w:rsidP="005764ED" w14:paraId="39AC140F" w14:textId="77777777">
      <w:pPr>
        <w:pStyle w:val="NormalHanging12a"/>
      </w:pPr>
      <w:r w:rsidRPr="00A110D9">
        <w:t>145.</w:t>
      </w:r>
      <w:r w:rsidRPr="00A110D9">
        <w:tab/>
        <w:t xml:space="preserve">souligne qu’en investissant davantage dans la recherche efficace au regard des coûts en matière de santé publique et de prévention, on peut réduire considérablement l’incidence des maladies cardiovasculaires, retarder leur apparition et prévenir les complications; </w:t>
      </w:r>
      <w:bookmarkStart w:id="10" w:name="_Hlk234309487"/>
      <w:r w:rsidRPr="00A110D9">
        <w:t xml:space="preserve">rappelle que la recherche axée sur la prévention n’est toujours pas suffisamment prioritaire par rapport à l’innovation thérapeutique, </w:t>
      </w:r>
      <w:bookmarkStart w:id="11" w:name="_Hlk234309629"/>
      <w:r w:rsidRPr="00A110D9">
        <w:t>alors qu’elle présente d’importants avantages pour la société, l’économie et les systèmes de santé</w:t>
      </w:r>
      <w:bookmarkEnd w:id="10"/>
      <w:bookmarkEnd w:id="11"/>
      <w:r w:rsidRPr="00A110D9">
        <w:t xml:space="preserve">; </w:t>
      </w:r>
    </w:p>
    <w:p w:rsidR="009D2B59" w:rsidRPr="00A110D9" w:rsidP="005764ED" w14:paraId="198A5EA4" w14:textId="77777777">
      <w:pPr>
        <w:pStyle w:val="NormalHanging12a"/>
      </w:pPr>
      <w:r w:rsidRPr="00A110D9">
        <w:t>146.</w:t>
      </w:r>
      <w:r w:rsidRPr="00A110D9">
        <w:tab/>
        <w:t xml:space="preserve">invite la Commission à élaborer, en coopération avec les États membres et les parties prenantes, une feuille de route cohérente pour la recherche et l’innovation dans le domaine cardiovasculaire au niveau de l’Union, qui harmonise les instruments de financement, réduise la fragmentation, cible les besoins non satisfaits sur tout le spectre de la maladie et accélère la transposition des recherches dans la prévention, le diagnostic, les soins et la réadaptation, tout en complétant les initiatives existantes telles que l’initiative en matière de santé innovante et les partenariats au titre du programme Horizon Europe; </w:t>
      </w:r>
    </w:p>
    <w:p w:rsidR="009D2B59" w:rsidRPr="00A110D9" w:rsidP="005764ED" w14:paraId="6C5D6F39" w14:textId="77777777">
      <w:pPr>
        <w:pStyle w:val="NormalHanging12a"/>
        <w:rPr>
          <w:i/>
          <w:iCs/>
        </w:rPr>
      </w:pPr>
      <w:r w:rsidRPr="00A110D9">
        <w:rPr>
          <w:i/>
        </w:rPr>
        <w:t>IX. Gouvernance, mise en œuvre et financement</w:t>
      </w:r>
    </w:p>
    <w:p w:rsidR="009D2B59" w:rsidRPr="00A110D9" w:rsidP="005764ED" w14:paraId="5780E002" w14:textId="77777777">
      <w:pPr>
        <w:pStyle w:val="NormalHanging12a"/>
      </w:pPr>
      <w:r w:rsidRPr="00A110D9">
        <w:t>147.</w:t>
      </w:r>
      <w:r w:rsidRPr="00A110D9">
        <w:tab/>
        <w:t xml:space="preserve">invite tous les États membres à élaborer ou à mettre à jour des plans nationaux de santé cardiovasculaire qui couvrent la prévention, le dépistage précoce, le traitement, la réadaptation et les soins de longue durée ainsi que l’ensemble des grands facteurs de risque et qui soient conformes au plan pour un cœur en bonne santé, aux objectifs de l’Union et aux engagements internationaux, y compris la déclaration politique issue de la quatrième réunion de haut niveau de l’Assemblée générale sur la prévention et la maîtrise des maladies non transmissibles et la promotion de la santé mentale et du bien-être, ainsi qu’à la stratégie de l’Union en matière de santé mondiale; souligne que ces plans devraient favoriser une coordination structurée entre les autorités publiques, les prestataires de soins de santé, les associations de patients et les partenaires compétents du secteur privé grâce à des mécanismes clairs en matière de gouvernance, de transparence et de responsabilité; </w:t>
      </w:r>
    </w:p>
    <w:p w:rsidR="009D2B59" w:rsidRPr="00A110D9" w:rsidP="005764ED" w14:paraId="061E81C6" w14:textId="77777777">
      <w:pPr>
        <w:pStyle w:val="NormalHanging12a"/>
      </w:pPr>
      <w:r w:rsidRPr="00A110D9">
        <w:t>148.</w:t>
      </w:r>
      <w:r w:rsidRPr="00A110D9">
        <w:tab/>
        <w:t xml:space="preserve">invite la Commission à élaborer des lignes directrices, notamment en matière de recensement et d’échange des bonnes pratiques, afin d’aider les États membres à concevoir et à mettre en œuvre des mesures efficaces et fondées sur des données probantes destinées à promouvoir le recours aux services de santé préventifs et aux programmes de </w:t>
      </w:r>
      <w:r w:rsidRPr="00A110D9">
        <w:t>dépistage;</w:t>
      </w:r>
      <w:r w:rsidRPr="00A110D9">
        <w:t xml:space="preserve"> </w:t>
      </w:r>
    </w:p>
    <w:p w:rsidR="009D2B59" w:rsidRPr="00A110D9" w:rsidP="005764ED" w14:paraId="5B6542A0" w14:textId="77777777">
      <w:pPr>
        <w:pStyle w:val="NormalHanging12a"/>
      </w:pPr>
      <w:r w:rsidRPr="00A110D9">
        <w:t>149.</w:t>
      </w:r>
      <w:r w:rsidRPr="00A110D9">
        <w:tab/>
        <w:t xml:space="preserve">invite la Commission à aider les États membres à élaborer et à mettre en œuvre des plans nationaux de santé cardiovasculaire au moyen de lignes directrices à l’échelle de l’Union, d’un financement approprié, d’un échange de bonnes pratiques et d’une assistance technique, et à faciliter la coordination entre les stratégies nationales afin de contribuer à réduire les disparités entre les résultats cardiovasculaires obtenus dans </w:t>
      </w:r>
      <w:r w:rsidRPr="00A110D9">
        <w:t xml:space="preserve">l’ensemble de </w:t>
      </w:r>
      <w:r w:rsidRPr="00A110D9">
        <w:t>l’Union;</w:t>
      </w:r>
      <w:r w:rsidRPr="00A110D9">
        <w:t xml:space="preserve"> </w:t>
      </w:r>
    </w:p>
    <w:p w:rsidR="009D2B59" w:rsidRPr="00A110D9" w:rsidP="005764ED" w14:paraId="56B9C8B8" w14:textId="77777777">
      <w:pPr>
        <w:pStyle w:val="NormalHanging12a"/>
      </w:pPr>
      <w:r w:rsidRPr="00A110D9">
        <w:t>150.</w:t>
      </w:r>
      <w:r w:rsidRPr="00A110D9">
        <w:tab/>
        <w:t xml:space="preserve">demande à la Commission d’élaborer une feuille de route de mise en œuvre du plan pour un cœur en bonne santé, fondée sur un engagement politique clair et fort, qui encourage l’innovation et les initiatives phares dans tous les États membres et au niveau de </w:t>
      </w:r>
      <w:r w:rsidRPr="00A110D9">
        <w:t>l’Union;</w:t>
      </w:r>
      <w:r w:rsidRPr="00A110D9">
        <w:t xml:space="preserve"> </w:t>
      </w:r>
    </w:p>
    <w:p w:rsidR="009D2B59" w:rsidRPr="00A110D9" w:rsidP="005764ED" w14:paraId="30561775" w14:textId="77777777">
      <w:pPr>
        <w:pStyle w:val="NormalHanging12a"/>
      </w:pPr>
      <w:r w:rsidRPr="00A110D9">
        <w:t>151.</w:t>
      </w:r>
      <w:r w:rsidRPr="00A110D9">
        <w:tab/>
        <w:t xml:space="preserve">souligne que l’efficacité de la prévention, de la préparation, des soins et de la recherche en matière de maladies cardiovasculaires nécessite des fonds publics européens suffisants, dédiés, stables et durables provenant de tous les programmes de l’Union concernés; insiste sur le fait que la santé cardiovasculaire est un bien public et préconise que des fonds suffisants permettent de renforcer dans l’ensemble de l’Union la prévention, la préparation et l’équité, y compris les aides visant à réduire les obstacles à l’accès au diagnostic, à des médicaments abordables, à des interventions médicales et à des traitements; demande que le financement de l’Union, la collecte de données et la recherche prennent en compte la dimension de genre, ce qui inclut un soutien ciblé aux innovations concernant les risques cardiovasculaires spécifiques aux femmes et les parcours de soins qui leur sont destinés; </w:t>
      </w:r>
    </w:p>
    <w:p w:rsidR="009D2B59" w:rsidRPr="00A110D9" w:rsidP="005764ED" w14:paraId="71CEAA75" w14:textId="77777777">
      <w:pPr>
        <w:pStyle w:val="NormalHanging12a"/>
      </w:pPr>
      <w:r w:rsidRPr="00A110D9">
        <w:t>152.</w:t>
      </w:r>
      <w:r w:rsidRPr="00A110D9">
        <w:tab/>
        <w:t xml:space="preserve">demande à la Commission de fixer des objectifs, des indicateurs et des étapes clairs et complets en vue de la réduction et du contrôle des risques cardiovasculaires, y compris le traitement efficace des principaux facteurs de risque et des comorbidités; demande un suivi transparent et des rapports publics réguliers, y compris en ce qui concerne les objectifs d’équité et les mesures ciblées à destination des groupes à haut risque et défavorisés, et réclame des objectifs précis de réduction de la mortalité due aux maladies cardiovasculaires; </w:t>
      </w:r>
    </w:p>
    <w:p w:rsidR="009D2B59" w:rsidRPr="00A110D9" w:rsidP="005764ED" w14:paraId="206E4B3C" w14:textId="77777777">
      <w:pPr>
        <w:pStyle w:val="NormalHanging12a"/>
      </w:pPr>
      <w:r w:rsidRPr="00A110D9">
        <w:t>153.</w:t>
      </w:r>
      <w:r w:rsidRPr="00A110D9">
        <w:tab/>
        <w:t xml:space="preserve">souligne que les plans nationaux de santé cardiovasculaire devraient explicitement lutter contre les inégalités en matière de santé en intégrant des objectifs d’équité et des actions ciblées pour les groupes présentant des risques plus </w:t>
      </w:r>
      <w:r w:rsidRPr="00A110D9">
        <w:t>élevés;</w:t>
      </w:r>
      <w:r w:rsidRPr="00A110D9">
        <w:t xml:space="preserve"> </w:t>
      </w:r>
    </w:p>
    <w:p w:rsidR="009D2B59" w:rsidRPr="00A110D9" w:rsidP="005764ED" w14:paraId="4248F2AC" w14:textId="77777777">
      <w:pPr>
        <w:pStyle w:val="NormalHanging12a"/>
      </w:pPr>
      <w:r w:rsidRPr="00A110D9">
        <w:t>154.</w:t>
      </w:r>
      <w:r w:rsidRPr="00A110D9">
        <w:tab/>
        <w:t xml:space="preserve">invite la Commission à inclure des données sur la santé cardiovasculaire, ses déterminants et l’opinion du public sur ce sujet dans les enquêtes et les statistiques de </w:t>
      </w:r>
      <w:r w:rsidRPr="00A110D9">
        <w:t>l’Eurobaromètre;</w:t>
      </w:r>
      <w:r w:rsidRPr="00A110D9">
        <w:t xml:space="preserve"> </w:t>
      </w:r>
    </w:p>
    <w:p w:rsidR="009D2B59" w:rsidRPr="00A110D9" w:rsidP="005764ED" w14:paraId="03927AF8" w14:textId="77777777">
      <w:pPr>
        <w:pStyle w:val="NormalHanging12a"/>
      </w:pPr>
      <w:r w:rsidRPr="00A110D9">
        <w:t>155.</w:t>
      </w:r>
      <w:r w:rsidRPr="00A110D9">
        <w:tab/>
        <w:t xml:space="preserve">réclame des évaluations et de la responsabilité; s’engage donc à mener une étude de la mise en œuvre pour évaluer les progrès, la cohérence et l’efficacité du plan pour un cœur en bonne santé dans l’ensemble des États membres, en accordant une attention particulière à la prévention, à l’égalité d’accès, au dépistage précoce et aux mesures concernant les déterminants sociaux et environnementaux de la santé; invite la Commission à présenter, dans le même temps, un rapport d’évaluation sur la mise en œuvre du plan pour un cœur en bonne santé au plus tard quatre ans après son adoption, afin d’évaluer les progrès accomplis par rapport aux objectifs fixés, d’identifier les lacunes et les obstacles à la mise en œuvre et de proposer des solutions si nécessaire, en vue de garantir la responsabilité, la transparence et l’amélioration continue; demande à la Commission d’assurer un suivi constant de la situation et de présenter des rapports d’évaluation réguliers après la publication du premier rapport; </w:t>
      </w:r>
    </w:p>
    <w:p w:rsidR="009D2B59" w:rsidRPr="00A110D9" w:rsidP="005764ED" w14:paraId="25841E57" w14:textId="77777777">
      <w:pPr>
        <w:pStyle w:val="NormalHanging12a"/>
        <w:rPr>
          <w:i/>
          <w:iCs/>
        </w:rPr>
      </w:pPr>
      <w:r w:rsidRPr="00A110D9">
        <w:rPr>
          <w:i/>
        </w:rPr>
        <w:t>X. Dimension internationale</w:t>
      </w:r>
    </w:p>
    <w:p w:rsidR="009D2B59" w:rsidRPr="00A110D9" w:rsidP="005764ED" w14:paraId="588CA374" w14:textId="77777777">
      <w:pPr>
        <w:pStyle w:val="NormalHanging12a"/>
      </w:pPr>
      <w:r w:rsidRPr="00A110D9">
        <w:t>156.</w:t>
      </w:r>
      <w:r w:rsidRPr="00A110D9">
        <w:tab/>
        <w:t xml:space="preserve">souligne que le rôle de l’Union dans l’action mondiale contre les maladies </w:t>
      </w:r>
      <w:r w:rsidRPr="00A110D9">
        <w:t xml:space="preserve">cardiovasculaires et les maladies non transmissibles devrait être cohérent avec la stratégie de l’Union en matière de santé mondiale et la déclaration politique issue de la quatrième réunion de haut niveau de l’Assemblée générale sur la prévention et la maîtrise des maladies non transmissibles et la promotion de la santé mentale et du bien-être; insiste sur la nécessité d’œuvrer au renforcement des systèmes de prévention, de préparation et de soins en matière de maladies cardiovasculaires, de manière à améliorer la résilience; </w:t>
      </w:r>
    </w:p>
    <w:p w:rsidR="009D2B59" w:rsidRPr="00A110D9" w:rsidP="005764ED" w14:paraId="26678DA8" w14:textId="77777777">
      <w:pPr>
        <w:pStyle w:val="NormalHanging12a"/>
      </w:pPr>
      <w:r w:rsidRPr="00A110D9">
        <w:t>157.</w:t>
      </w:r>
      <w:r w:rsidRPr="00A110D9">
        <w:tab/>
        <w:t xml:space="preserve">souligne que le rôle de l’Union dans l’action mondiale devrait englober une coopération renforcée avec les pays candidats et candidats potentiels à l’adhésion, afin de favoriser le renforcement des systèmes de prévention, de préparation et de soins en matière de maladies cardiovasculaires, de manière à améliorer la résilience et à faciliter leur alignement progressif sur les objectifs et les normes de l’Union; estime que cette coopération pourrait comprendre la participation des pays concernés à des programmes de l’Union en matière de santé, à des projets transfrontières et à une assistance technique visant à renforcer les systèmes de santé et à réduire la mortalité cardiovasculaire; </w:t>
      </w:r>
    </w:p>
    <w:p w:rsidR="009D2B59" w:rsidRPr="00A110D9" w:rsidP="005764ED" w14:paraId="6DB22AD0" w14:textId="77777777">
      <w:pPr>
        <w:pStyle w:val="NormalHanging12a"/>
      </w:pPr>
      <w:r w:rsidRPr="00A110D9">
        <w:t>158.</w:t>
      </w:r>
      <w:r w:rsidRPr="00A110D9">
        <w:tab/>
        <w:t xml:space="preserve">souligne que la mortalité due aux maladies cardiovasculaires est l’un des principaux facteurs de mortalité prématurée due à des maladies non transmissibles dans le monde et que la réduction de la mortalité cardiovasculaire est essentielle pour atteindre l’objectif de développement durable nº 3.4 d’ici 2030; rappelle l’engagement de l’Union, conformément à ses objectifs en matière d’action extérieure, de contribuer activement aux efforts mondiaux visant à réduire la charge que représentent les maladies cardiovasculaires grâce à la prévention, au dépistage précoce et au renforcement des systèmes de santé; plaide donc en faveur d’un alignement des politiques internes et externes, tenant compte notamment des populations des pays à revenu faible et intermédiaire, en ce qui concerne les activités de recherche visant à lutter contre les maladies cardiovasculaires et les facteurs de risque connexes, tels que les grossesses à issue défavorable, compte tenu de la charge élevée que représente la morbidité maternelle; </w:t>
      </w:r>
    </w:p>
    <w:p w:rsidR="009D2B59" w:rsidRPr="00A110D9" w:rsidP="005764ED" w14:paraId="67216406" w14:textId="77777777">
      <w:pPr>
        <w:pStyle w:val="NormalHanging12a"/>
      </w:pPr>
      <w:r w:rsidRPr="00A110D9">
        <w:t>159.</w:t>
      </w:r>
      <w:r w:rsidRPr="00A110D9">
        <w:tab/>
        <w:t xml:space="preserve">demande que les actions de l’Union en matière de santé cardiovasculaire soient alignées sur les cadres et engagements internationaux, et notamment sur les stratégies et plans d’action élaborés par l’OMS, afin de promouvoir la cohérence des politiques, la comparabilité des données, l’apprentissage mutuel et l’échange de bonnes pratiques entre l’Union, ses pays voisins et ses partenaires internationaux; encourage la Commission et les États membres à renforcer leur coopération avec les organisations et partenaires internationaux compétents afin de favoriser la prévention, la surveillance et la collaboration en matière de recherche dans le domaine des maladies cardiovasculaires, ainsi que la résilience des systèmes de santé à l’échelle mondiale; </w:t>
      </w:r>
    </w:p>
    <w:p w:rsidR="009D2B59" w:rsidRPr="00A110D9" w:rsidP="005764ED" w14:paraId="07071AC4" w14:textId="77777777">
      <w:pPr>
        <w:pStyle w:val="NormalHanging12a"/>
        <w:jc w:val="center"/>
      </w:pPr>
      <w:r w:rsidRPr="00A110D9">
        <w:t>°</w:t>
      </w:r>
    </w:p>
    <w:p w:rsidR="009D2B59" w:rsidRPr="00A110D9" w:rsidP="005764ED" w14:paraId="369A89DA" w14:textId="77777777">
      <w:pPr>
        <w:pStyle w:val="NormalHanging12a"/>
        <w:jc w:val="center"/>
      </w:pPr>
      <w:r w:rsidRPr="00A110D9">
        <w:t>°</w:t>
      </w:r>
      <w:r w:rsidRPr="00A110D9">
        <w:tab/>
        <w:t>°</w:t>
      </w:r>
    </w:p>
    <w:p w:rsidR="00A110D9" w:rsidRPr="00A110D9" w:rsidP="00A110D9" w14:paraId="61A72FF5" w14:textId="4E80A117">
      <w:pPr>
        <w:pStyle w:val="NormalHanging12a"/>
      </w:pPr>
      <w:r w:rsidRPr="00A110D9">
        <w:t>160.</w:t>
      </w:r>
      <w:r w:rsidRPr="00A110D9">
        <w:tab/>
        <w:t>charge sa Présidente de transmettre la présente résolution au Conseil et à la Commission ainsi qu’aux gouvernements et aux parlements des États membres.</w:t>
      </w:r>
    </w:p>
    <w:p w:rsidR="00E365E1" w:rsidRPr="00A110D9" w:rsidP="00061DB8" w14:paraId="7B1A6BF3" w14:textId="65FE9A9C"/>
    <w:sectPr w:rsidSect="00A110D9">
      <w:headerReference w:type="even" r:id="rId7"/>
      <w:headerReference w:type="default" r:id="rId8"/>
      <w:footerReference w:type="even" r:id="rId9"/>
      <w:footerReference w:type="default" r:id="rId10"/>
      <w:headerReference w:type="first" r:id="rId11"/>
      <w:footerReference w:type="first" r:id="rId12"/>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Roboto">
    <w:charset w:val="00"/>
    <w:family w:val="auto"/>
    <w:pitch w:val="variable"/>
    <w:sig w:usb0="E0000AFF" w:usb1="5000217F" w:usb2="00000021"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4002" w:rsidRPr="00A110D9" w14:paraId="3F8C6601"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4002" w:rsidRPr="00A110D9" w14:paraId="05519BCE"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4002" w:rsidRPr="00A110D9" w14:paraId="57C74AAD"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61DB8" w:rsidRPr="00A110D9" w14:paraId="466C4783" w14:textId="77777777">
      <w:r w:rsidRPr="00A110D9">
        <w:separator/>
      </w:r>
    </w:p>
  </w:footnote>
  <w:footnote w:type="continuationSeparator" w:id="1">
    <w:p w:rsidR="00061DB8" w:rsidRPr="00A110D9" w14:paraId="7A13F8BA" w14:textId="77777777">
      <w:r w:rsidRPr="00A110D9">
        <w:continuationSeparator/>
      </w:r>
    </w:p>
  </w:footnote>
  <w:footnote w:id="2">
    <w:p w:rsidR="009D2B59" w:rsidRPr="00E24506" w:rsidP="00A110D9" w14:paraId="05D560FE" w14:textId="6E4E38C2">
      <w:pPr>
        <w:pStyle w:val="FootnoteText"/>
        <w:ind w:left="567" w:hanging="567"/>
        <w:rPr>
          <w:sz w:val="24"/>
          <w:szCs w:val="24"/>
          <w:lang w:val="da-DK"/>
        </w:rPr>
      </w:pPr>
      <w:r w:rsidRPr="00C75121">
        <w:rPr>
          <w:rStyle w:val="FootnoteReference"/>
          <w:sz w:val="24"/>
          <w:szCs w:val="24"/>
        </w:rPr>
        <w:footnoteRef/>
      </w:r>
      <w:r w:rsidRPr="00E24506" w:rsidR="00A110D9">
        <w:rPr>
          <w:sz w:val="24"/>
          <w:szCs w:val="24"/>
          <w:lang w:val="da-DK"/>
        </w:rPr>
        <w:t xml:space="preserve"> </w:t>
      </w:r>
      <w:r w:rsidRPr="00E24506" w:rsidR="00A110D9">
        <w:rPr>
          <w:sz w:val="24"/>
          <w:szCs w:val="24"/>
          <w:lang w:val="da-DK"/>
        </w:rPr>
        <w:tab/>
      </w:r>
      <w:r w:rsidRPr="00E24506">
        <w:rPr>
          <w:sz w:val="24"/>
          <w:szCs w:val="24"/>
          <w:lang w:val="da-DK"/>
        </w:rPr>
        <w:t>JO C 342 du 6.9.2022, p. 109.</w:t>
      </w:r>
    </w:p>
  </w:footnote>
  <w:footnote w:id="3">
    <w:p w:rsidR="009D2B59" w:rsidRPr="00E24506" w:rsidP="00A110D9" w14:paraId="65F6AF36" w14:textId="5684F8EE">
      <w:pPr>
        <w:pStyle w:val="FootnoteText"/>
        <w:ind w:left="567" w:hanging="567"/>
        <w:rPr>
          <w:sz w:val="24"/>
          <w:szCs w:val="24"/>
          <w:lang w:val="da-DK"/>
        </w:rPr>
      </w:pPr>
      <w:r w:rsidRPr="00C75121">
        <w:rPr>
          <w:rStyle w:val="FootnoteReference"/>
          <w:sz w:val="24"/>
          <w:szCs w:val="24"/>
        </w:rPr>
        <w:footnoteRef/>
      </w:r>
      <w:r w:rsidRPr="00E24506" w:rsidR="00A110D9">
        <w:rPr>
          <w:sz w:val="24"/>
          <w:szCs w:val="24"/>
          <w:lang w:val="da-DK"/>
        </w:rPr>
        <w:t xml:space="preserve"> </w:t>
      </w:r>
      <w:r w:rsidRPr="00E24506" w:rsidR="00A110D9">
        <w:rPr>
          <w:sz w:val="24"/>
          <w:szCs w:val="24"/>
          <w:lang w:val="da-DK"/>
        </w:rPr>
        <w:tab/>
      </w:r>
      <w:r w:rsidRPr="00E24506">
        <w:rPr>
          <w:sz w:val="24"/>
          <w:szCs w:val="24"/>
          <w:lang w:val="da-DK"/>
        </w:rPr>
        <w:t>JO L, 2025/327, 5.3.2025, ELI: </w:t>
      </w:r>
      <w:hyperlink r:id="rId1" w:tgtFrame="_blank" w:tooltip="Permet d’accéder à ce document via son URI ELI." w:history="1">
        <w:r w:rsidRPr="00E24506">
          <w:rPr>
            <w:rStyle w:val="Hyperlink"/>
            <w:sz w:val="24"/>
            <w:szCs w:val="24"/>
            <w:lang w:val="da-DK"/>
          </w:rPr>
          <w:t>http://data.europa.eu/eli/reg/2025/327/oj</w:t>
        </w:r>
      </w:hyperlink>
      <w:r w:rsidRPr="00E24506">
        <w:rPr>
          <w:sz w:val="24"/>
          <w:szCs w:val="24"/>
          <w:lang w:val="da-DK"/>
        </w:rPr>
        <w:t>.</w:t>
      </w:r>
    </w:p>
  </w:footnote>
  <w:footnote w:id="4">
    <w:p w:rsidR="009D2B59" w:rsidRPr="00E24506" w:rsidP="00A110D9" w14:paraId="43AC9AA3" w14:textId="54080287">
      <w:pPr>
        <w:pStyle w:val="FootnoteText"/>
        <w:ind w:left="567" w:hanging="567"/>
        <w:rPr>
          <w:sz w:val="24"/>
          <w:szCs w:val="24"/>
          <w:lang w:val="da-DK"/>
        </w:rPr>
      </w:pPr>
      <w:r w:rsidRPr="00C75121">
        <w:rPr>
          <w:rStyle w:val="FootnoteReference"/>
          <w:sz w:val="24"/>
          <w:szCs w:val="24"/>
        </w:rPr>
        <w:footnoteRef/>
      </w:r>
      <w:r w:rsidRPr="00E24506" w:rsidR="00A110D9">
        <w:rPr>
          <w:sz w:val="24"/>
          <w:szCs w:val="24"/>
          <w:lang w:val="da-DK"/>
        </w:rPr>
        <w:t xml:space="preserve"> </w:t>
      </w:r>
      <w:r w:rsidRPr="00E24506" w:rsidR="00A110D9">
        <w:rPr>
          <w:sz w:val="24"/>
          <w:szCs w:val="24"/>
          <w:lang w:val="da-DK"/>
        </w:rPr>
        <w:tab/>
      </w:r>
      <w:r w:rsidRPr="00E24506">
        <w:rPr>
          <w:sz w:val="24"/>
          <w:szCs w:val="24"/>
          <w:lang w:val="da-DK"/>
        </w:rPr>
        <w:t>JO L 127 du 29.4.2014, p. 1, ELI: </w:t>
      </w:r>
      <w:hyperlink r:id="rId2" w:tooltip="Permet d’accéder à ce document via son URI ELI." w:history="1">
        <w:r w:rsidRPr="00E24506">
          <w:rPr>
            <w:rStyle w:val="Hyperlink"/>
            <w:sz w:val="24"/>
            <w:szCs w:val="24"/>
            <w:lang w:val="da-DK"/>
          </w:rPr>
          <w:t>http://data.europa.eu/eli/dir/2014/40/oj</w:t>
        </w:r>
      </w:hyperlink>
      <w:r w:rsidRPr="00E24506">
        <w:rPr>
          <w:sz w:val="24"/>
          <w:szCs w:val="24"/>
          <w:lang w:val="da-DK"/>
        </w:rPr>
        <w:t>.</w:t>
      </w:r>
    </w:p>
  </w:footnote>
  <w:footnote w:id="5">
    <w:p w:rsidR="009D2B59" w:rsidRPr="00E24506" w:rsidP="00A110D9" w14:paraId="4FB527E5" w14:textId="41D75B4C">
      <w:pPr>
        <w:pStyle w:val="FootnoteText"/>
        <w:ind w:left="567" w:hanging="567"/>
        <w:rPr>
          <w:sz w:val="24"/>
          <w:szCs w:val="24"/>
          <w:lang w:val="da-DK"/>
        </w:rPr>
      </w:pPr>
      <w:r w:rsidRPr="00C75121">
        <w:rPr>
          <w:rStyle w:val="FootnoteReference"/>
          <w:sz w:val="24"/>
          <w:szCs w:val="24"/>
        </w:rPr>
        <w:footnoteRef/>
      </w:r>
      <w:r w:rsidRPr="00E24506" w:rsidR="00A110D9">
        <w:rPr>
          <w:sz w:val="24"/>
          <w:szCs w:val="24"/>
          <w:lang w:val="da-DK"/>
        </w:rPr>
        <w:t xml:space="preserve"> </w:t>
      </w:r>
      <w:r w:rsidRPr="00E24506" w:rsidR="00A110D9">
        <w:rPr>
          <w:sz w:val="24"/>
          <w:szCs w:val="24"/>
          <w:lang w:val="da-DK"/>
        </w:rPr>
        <w:tab/>
      </w:r>
      <w:r w:rsidRPr="00E24506">
        <w:rPr>
          <w:sz w:val="24"/>
          <w:szCs w:val="24"/>
          <w:lang w:val="da-DK"/>
        </w:rPr>
        <w:t>JO L 176 du 5.7.2011, p. 24, ELI: </w:t>
      </w:r>
      <w:hyperlink r:id="rId3" w:tooltip="Permet d’accéder à ce document via son URI ELI." w:history="1">
        <w:r w:rsidRPr="00E24506">
          <w:rPr>
            <w:rStyle w:val="Hyperlink"/>
            <w:sz w:val="24"/>
            <w:szCs w:val="24"/>
            <w:lang w:val="da-DK"/>
          </w:rPr>
          <w:t>http://data.europa.eu/eli/dir/2011/64/oj</w:t>
        </w:r>
      </w:hyperlink>
      <w:r w:rsidRPr="00E24506">
        <w:rPr>
          <w:sz w:val="24"/>
          <w:szCs w:val="24"/>
          <w:lang w:val="da-DK"/>
        </w:rPr>
        <w:t>.</w:t>
      </w:r>
    </w:p>
  </w:footnote>
  <w:footnote w:id="6">
    <w:p w:rsidR="009D2B59" w:rsidRPr="00E24506" w:rsidP="00A110D9" w14:paraId="73C85D5F" w14:textId="22E63671">
      <w:pPr>
        <w:pStyle w:val="FootnoteText"/>
        <w:ind w:left="567" w:hanging="567"/>
        <w:rPr>
          <w:sz w:val="24"/>
          <w:szCs w:val="24"/>
          <w:lang w:val="da-DK"/>
        </w:rPr>
      </w:pPr>
      <w:r w:rsidRPr="00C75121">
        <w:rPr>
          <w:rStyle w:val="FootnoteReference"/>
          <w:sz w:val="24"/>
          <w:szCs w:val="24"/>
        </w:rPr>
        <w:footnoteRef/>
      </w:r>
      <w:r w:rsidRPr="00E24506" w:rsidR="00A110D9">
        <w:rPr>
          <w:sz w:val="24"/>
          <w:szCs w:val="24"/>
          <w:lang w:val="da-DK"/>
        </w:rPr>
        <w:t xml:space="preserve"> </w:t>
      </w:r>
      <w:r w:rsidRPr="00E24506" w:rsidR="00A110D9">
        <w:rPr>
          <w:sz w:val="24"/>
          <w:szCs w:val="24"/>
          <w:lang w:val="da-DK"/>
        </w:rPr>
        <w:tab/>
      </w:r>
      <w:r w:rsidRPr="00E24506">
        <w:rPr>
          <w:sz w:val="24"/>
          <w:szCs w:val="24"/>
          <w:lang w:val="da-DK"/>
        </w:rPr>
        <w:t>JO L 149 du 11.6.2005, p. 22, ELI: </w:t>
      </w:r>
      <w:hyperlink r:id="rId4" w:tooltip="Permet d’accéder à ce document via son URI ELI." w:history="1">
        <w:r w:rsidRPr="00E24506">
          <w:rPr>
            <w:rStyle w:val="Hyperlink"/>
            <w:sz w:val="24"/>
            <w:szCs w:val="24"/>
            <w:lang w:val="da-DK"/>
          </w:rPr>
          <w:t>http://data.europa.eu/eli/dir/2005/29/oj</w:t>
        </w:r>
      </w:hyperlink>
      <w:r w:rsidRPr="00E24506">
        <w:rPr>
          <w:sz w:val="24"/>
          <w:szCs w:val="24"/>
          <w:lang w:val="da-DK"/>
        </w:rPr>
        <w:t>.</w:t>
      </w:r>
    </w:p>
  </w:footnote>
  <w:footnote w:id="7">
    <w:p w:rsidR="009D2B59" w:rsidRPr="00E24506" w:rsidP="00A110D9" w14:paraId="68B2F5E7" w14:textId="02B47F87">
      <w:pPr>
        <w:pStyle w:val="FootnoteText"/>
        <w:ind w:left="567" w:hanging="567"/>
        <w:rPr>
          <w:sz w:val="24"/>
          <w:szCs w:val="24"/>
          <w:lang w:val="da-DK"/>
        </w:rPr>
      </w:pPr>
      <w:r w:rsidRPr="00C75121">
        <w:rPr>
          <w:rStyle w:val="FootnoteReference"/>
          <w:sz w:val="24"/>
          <w:szCs w:val="24"/>
        </w:rPr>
        <w:footnoteRef/>
      </w:r>
      <w:r w:rsidRPr="00E24506" w:rsidR="00A110D9">
        <w:rPr>
          <w:sz w:val="24"/>
          <w:szCs w:val="24"/>
          <w:lang w:val="da-DK"/>
        </w:rPr>
        <w:t xml:space="preserve"> </w:t>
      </w:r>
      <w:r w:rsidRPr="00E24506" w:rsidR="00A110D9">
        <w:rPr>
          <w:sz w:val="24"/>
          <w:szCs w:val="24"/>
          <w:lang w:val="da-DK"/>
        </w:rPr>
        <w:tab/>
      </w:r>
      <w:r w:rsidRPr="00E24506">
        <w:rPr>
          <w:sz w:val="24"/>
          <w:szCs w:val="24"/>
          <w:lang w:val="da-DK"/>
        </w:rPr>
        <w:t>JO L 404 du 30.12.2006, p. 9, ELI: </w:t>
      </w:r>
      <w:hyperlink r:id="rId5" w:tooltip="Permet d'accéder à ce document par l'intermédiaire de son URI ELI." w:history="1">
        <w:r w:rsidRPr="00E24506">
          <w:rPr>
            <w:rStyle w:val="Hyperlink"/>
            <w:sz w:val="24"/>
            <w:szCs w:val="24"/>
            <w:lang w:val="da-DK"/>
          </w:rPr>
          <w:t>http://data.europa.eu/eli/reg/2006/1924/oj</w:t>
        </w:r>
      </w:hyperlink>
      <w:r w:rsidRPr="00E24506">
        <w:rPr>
          <w:sz w:val="24"/>
          <w:szCs w:val="24"/>
          <w:lang w:val="da-DK"/>
        </w:rPr>
        <w:t>.</w:t>
      </w:r>
    </w:p>
  </w:footnote>
  <w:footnote w:id="8">
    <w:p w:rsidR="009D2B59" w:rsidRPr="00E24506" w:rsidP="00A110D9" w14:paraId="34908A71" w14:textId="7C13EAEB">
      <w:pPr>
        <w:pStyle w:val="FootnoteText"/>
        <w:ind w:left="567" w:hanging="567"/>
        <w:rPr>
          <w:sz w:val="24"/>
          <w:szCs w:val="24"/>
          <w:lang w:val="da-DK"/>
        </w:rPr>
      </w:pPr>
      <w:r w:rsidRPr="00C75121">
        <w:rPr>
          <w:rStyle w:val="FootnoteReference"/>
          <w:sz w:val="24"/>
          <w:szCs w:val="24"/>
        </w:rPr>
        <w:footnoteRef/>
      </w:r>
      <w:r w:rsidRPr="00E24506" w:rsidR="00A110D9">
        <w:rPr>
          <w:sz w:val="24"/>
          <w:szCs w:val="24"/>
          <w:lang w:val="da-DK"/>
        </w:rPr>
        <w:t xml:space="preserve"> </w:t>
      </w:r>
      <w:r w:rsidRPr="00E24506" w:rsidR="00A110D9">
        <w:rPr>
          <w:sz w:val="24"/>
          <w:szCs w:val="24"/>
          <w:lang w:val="da-DK"/>
        </w:rPr>
        <w:tab/>
      </w:r>
      <w:r w:rsidRPr="00E24506">
        <w:rPr>
          <w:sz w:val="24"/>
          <w:szCs w:val="24"/>
          <w:lang w:val="da-DK"/>
        </w:rPr>
        <w:t>JO L 152 du 11.6.2008, p. 1, ELI: </w:t>
      </w:r>
      <w:hyperlink r:id="rId6" w:tooltip="Permet d’accéder à ce document via son URI ELI." w:history="1">
        <w:r w:rsidRPr="00E24506">
          <w:rPr>
            <w:rStyle w:val="Hyperlink"/>
            <w:sz w:val="24"/>
            <w:szCs w:val="24"/>
            <w:lang w:val="da-DK"/>
          </w:rPr>
          <w:t>http://data.europa.eu/eli/dir/2008/50/oj</w:t>
        </w:r>
      </w:hyperlink>
      <w:r w:rsidRPr="00E24506">
        <w:rPr>
          <w:sz w:val="24"/>
          <w:szCs w:val="24"/>
          <w:lang w:val="da-DK"/>
        </w:rPr>
        <w:t>.</w:t>
      </w:r>
    </w:p>
  </w:footnote>
  <w:footnote w:id="9">
    <w:p w:rsidR="009D2B59" w:rsidRPr="00E24506" w:rsidP="00A110D9" w14:paraId="281BDDA1" w14:textId="5874F6BD">
      <w:pPr>
        <w:pStyle w:val="FootnoteText"/>
        <w:ind w:left="567" w:hanging="567"/>
        <w:rPr>
          <w:sz w:val="24"/>
          <w:szCs w:val="24"/>
          <w:lang w:val="da-DK"/>
        </w:rPr>
      </w:pPr>
      <w:r w:rsidRPr="00C75121">
        <w:rPr>
          <w:rStyle w:val="FootnoteReference"/>
          <w:sz w:val="24"/>
          <w:szCs w:val="24"/>
        </w:rPr>
        <w:footnoteRef/>
      </w:r>
      <w:r w:rsidRPr="00E24506" w:rsidR="00A110D9">
        <w:rPr>
          <w:sz w:val="24"/>
          <w:szCs w:val="24"/>
          <w:lang w:val="da-DK"/>
        </w:rPr>
        <w:t xml:space="preserve"> </w:t>
      </w:r>
      <w:r w:rsidRPr="00E24506" w:rsidR="00A110D9">
        <w:rPr>
          <w:sz w:val="24"/>
          <w:szCs w:val="24"/>
          <w:lang w:val="da-DK"/>
        </w:rPr>
        <w:tab/>
      </w:r>
      <w:r w:rsidRPr="00E24506">
        <w:rPr>
          <w:sz w:val="24"/>
          <w:szCs w:val="24"/>
          <w:lang w:val="da-DK"/>
        </w:rPr>
        <w:t>JO L 189 du 18.7.2002, p. 12, ELI: </w:t>
      </w:r>
      <w:hyperlink r:id="rId7" w:tooltip="Permet d’accéder à ce document par l'intermédiaire de son URI ELI." w:history="1">
        <w:r w:rsidRPr="00E24506">
          <w:rPr>
            <w:rStyle w:val="Hyperlink"/>
            <w:sz w:val="24"/>
            <w:szCs w:val="24"/>
            <w:lang w:val="da-DK"/>
          </w:rPr>
          <w:t>http://data.europa.eu/eli/dir/2002/49/oj</w:t>
        </w:r>
      </w:hyperlink>
      <w:r w:rsidRPr="00E24506">
        <w:rPr>
          <w:sz w:val="24"/>
          <w:szCs w:val="24"/>
          <w:lang w:val="da-DK"/>
        </w:rPr>
        <w:t>.</w:t>
      </w:r>
    </w:p>
  </w:footnote>
  <w:footnote w:id="10">
    <w:p w:rsidR="009D2B59" w:rsidRPr="00E24506" w:rsidP="00A110D9" w14:paraId="50123564" w14:textId="6E2135E2">
      <w:pPr>
        <w:pStyle w:val="FootnoteText"/>
        <w:ind w:left="567" w:hanging="567"/>
        <w:rPr>
          <w:sz w:val="24"/>
          <w:szCs w:val="24"/>
          <w:lang w:val="da-DK"/>
        </w:rPr>
      </w:pPr>
      <w:r w:rsidRPr="00C75121">
        <w:rPr>
          <w:rStyle w:val="FootnoteReference"/>
          <w:sz w:val="24"/>
          <w:szCs w:val="24"/>
        </w:rPr>
        <w:footnoteRef/>
      </w:r>
      <w:r w:rsidRPr="00E24506" w:rsidR="00A110D9">
        <w:rPr>
          <w:sz w:val="24"/>
          <w:szCs w:val="24"/>
          <w:lang w:val="da-DK"/>
        </w:rPr>
        <w:t xml:space="preserve"> </w:t>
      </w:r>
      <w:r w:rsidRPr="00E24506" w:rsidR="00A110D9">
        <w:rPr>
          <w:sz w:val="24"/>
          <w:szCs w:val="24"/>
          <w:lang w:val="da-DK"/>
        </w:rPr>
        <w:tab/>
      </w:r>
      <w:r w:rsidRPr="00E24506">
        <w:rPr>
          <w:sz w:val="24"/>
          <w:szCs w:val="24"/>
          <w:lang w:val="da-DK"/>
        </w:rPr>
        <w:t>JO L 88 du 4.4.2011, p. 45, ELI: </w:t>
      </w:r>
      <w:hyperlink r:id="rId8" w:tooltip="Permet d’accéder à ce document par l’intermédiaire de son URI ELI." w:history="1">
        <w:r w:rsidRPr="00E24506">
          <w:rPr>
            <w:rStyle w:val="Hyperlink"/>
            <w:sz w:val="24"/>
            <w:szCs w:val="24"/>
            <w:lang w:val="da-DK"/>
          </w:rPr>
          <w:t>http://data.europa.eu/eli/dir/2011/24/oj</w:t>
        </w:r>
      </w:hyperlink>
      <w:r w:rsidRPr="00E24506">
        <w:rPr>
          <w:sz w:val="24"/>
          <w:szCs w:val="24"/>
          <w:lang w:val="da-DK"/>
        </w:rPr>
        <w:t>.</w:t>
      </w:r>
    </w:p>
  </w:footnote>
  <w:footnote w:id="11">
    <w:p w:rsidR="009D2B59" w:rsidRPr="00E24506" w:rsidP="00A110D9" w14:paraId="6597173D" w14:textId="7607B35C">
      <w:pPr>
        <w:pStyle w:val="FootnoteText"/>
        <w:ind w:left="567" w:hanging="567"/>
        <w:rPr>
          <w:sz w:val="24"/>
          <w:szCs w:val="24"/>
          <w:lang w:val="da-DK"/>
        </w:rPr>
      </w:pPr>
      <w:r w:rsidRPr="00C75121">
        <w:rPr>
          <w:rStyle w:val="FootnoteReference"/>
          <w:sz w:val="24"/>
          <w:szCs w:val="24"/>
        </w:rPr>
        <w:footnoteRef/>
      </w:r>
      <w:r w:rsidRPr="00E24506" w:rsidR="00A110D9">
        <w:rPr>
          <w:sz w:val="24"/>
          <w:szCs w:val="24"/>
          <w:lang w:val="da-DK"/>
        </w:rPr>
        <w:t xml:space="preserve"> </w:t>
      </w:r>
      <w:r w:rsidRPr="00E24506" w:rsidR="00A110D9">
        <w:rPr>
          <w:sz w:val="24"/>
          <w:szCs w:val="24"/>
          <w:lang w:val="da-DK"/>
        </w:rPr>
        <w:tab/>
      </w:r>
      <w:r w:rsidRPr="00E24506">
        <w:rPr>
          <w:sz w:val="24"/>
          <w:szCs w:val="24"/>
          <w:lang w:val="da-DK"/>
        </w:rPr>
        <w:t>JO L 344 du 17.12.2016, p. 1, ELI: </w:t>
      </w:r>
      <w:hyperlink r:id="rId9" w:tooltip="Permet d'accéder à ce document par l'intermédiaire de son URI ELI." w:history="1">
        <w:r w:rsidRPr="00E24506">
          <w:rPr>
            <w:rStyle w:val="Hyperlink"/>
            <w:sz w:val="24"/>
            <w:szCs w:val="24"/>
            <w:lang w:val="da-DK"/>
          </w:rPr>
          <w:t>http://data.europa.eu/eli/dir/2016/2284/oj</w:t>
        </w:r>
      </w:hyperlink>
      <w:r w:rsidRPr="00E24506">
        <w:rPr>
          <w:sz w:val="24"/>
          <w:szCs w:val="24"/>
          <w:lang w:val="da-DK"/>
        </w:rPr>
        <w:t>.</w:t>
      </w:r>
    </w:p>
  </w:footnote>
  <w:footnote w:id="12">
    <w:p w:rsidR="009D2B59" w:rsidRPr="00E24506" w:rsidP="00A110D9" w14:paraId="70637E29" w14:textId="556701C4">
      <w:pPr>
        <w:pStyle w:val="FootnoteText"/>
        <w:ind w:left="567" w:hanging="567"/>
        <w:rPr>
          <w:sz w:val="24"/>
          <w:szCs w:val="24"/>
          <w:lang w:val="fi-FI"/>
        </w:rPr>
      </w:pPr>
      <w:r w:rsidRPr="00C75121">
        <w:rPr>
          <w:rStyle w:val="FootnoteReference"/>
          <w:sz w:val="24"/>
          <w:szCs w:val="24"/>
        </w:rPr>
        <w:footnoteRef/>
      </w:r>
      <w:r w:rsidRPr="00E24506" w:rsidR="00A110D9">
        <w:rPr>
          <w:sz w:val="24"/>
          <w:szCs w:val="24"/>
          <w:lang w:val="fi-FI"/>
        </w:rPr>
        <w:t xml:space="preserve"> </w:t>
      </w:r>
      <w:r w:rsidRPr="00E24506" w:rsidR="00A110D9">
        <w:rPr>
          <w:sz w:val="24"/>
          <w:szCs w:val="24"/>
          <w:lang w:val="fi-FI"/>
        </w:rPr>
        <w:tab/>
      </w:r>
      <w:r w:rsidRPr="00E24506">
        <w:rPr>
          <w:sz w:val="24"/>
          <w:szCs w:val="24"/>
          <w:lang w:val="fi-FI"/>
        </w:rPr>
        <w:t>JO C 342 du 6.9.2022, p. 109.</w:t>
      </w:r>
    </w:p>
  </w:footnote>
  <w:footnote w:id="13">
    <w:p w:rsidR="009D2B59" w:rsidRPr="00E24506" w:rsidP="00A110D9" w14:paraId="33EBE687" w14:textId="17890963">
      <w:pPr>
        <w:pStyle w:val="FootnoteText"/>
        <w:ind w:left="567" w:hanging="567"/>
        <w:rPr>
          <w:sz w:val="24"/>
          <w:szCs w:val="24"/>
          <w:lang w:val="fi-FI"/>
        </w:rPr>
      </w:pPr>
      <w:r w:rsidRPr="00C75121">
        <w:rPr>
          <w:rStyle w:val="FootnoteReference"/>
          <w:sz w:val="24"/>
          <w:szCs w:val="24"/>
        </w:rPr>
        <w:footnoteRef/>
      </w:r>
      <w:r w:rsidRPr="00E24506" w:rsidR="00A110D9">
        <w:rPr>
          <w:sz w:val="24"/>
          <w:szCs w:val="24"/>
          <w:lang w:val="fi-FI"/>
        </w:rPr>
        <w:t xml:space="preserve"> </w:t>
      </w:r>
      <w:r w:rsidRPr="00E24506" w:rsidR="00A110D9">
        <w:rPr>
          <w:sz w:val="24"/>
          <w:szCs w:val="24"/>
          <w:lang w:val="fi-FI"/>
        </w:rPr>
        <w:tab/>
      </w:r>
      <w:r w:rsidRPr="00E24506">
        <w:rPr>
          <w:sz w:val="24"/>
          <w:szCs w:val="24"/>
          <w:lang w:val="fi-FI"/>
        </w:rPr>
        <w:t xml:space="preserve">JO C, C/2024/4171, 2.8.2024, ELI: </w:t>
      </w:r>
      <w:hyperlink r:id="rId10" w:history="1">
        <w:r w:rsidRPr="00E24506">
          <w:rPr>
            <w:rStyle w:val="Hyperlink"/>
            <w:sz w:val="24"/>
            <w:szCs w:val="24"/>
            <w:lang w:val="fi-FI"/>
          </w:rPr>
          <w:t>http://data.europa.eu/eli/C/2024/4171/oj</w:t>
        </w:r>
      </w:hyperlink>
      <w:r w:rsidRPr="00E24506">
        <w:rPr>
          <w:sz w:val="24"/>
          <w:szCs w:val="24"/>
          <w:lang w:val="fi-FI"/>
        </w:rPr>
        <w:t>.</w:t>
      </w:r>
    </w:p>
  </w:footnote>
  <w:footnote w:id="14">
    <w:p w:rsidR="009D2B59" w:rsidRPr="00E24506" w:rsidP="00A110D9" w14:paraId="7BF797CA" w14:textId="667564F2">
      <w:pPr>
        <w:pStyle w:val="FootnoteText"/>
        <w:ind w:left="567" w:hanging="567"/>
        <w:rPr>
          <w:sz w:val="24"/>
          <w:szCs w:val="24"/>
          <w:lang w:val="fi-FI"/>
        </w:rPr>
      </w:pPr>
      <w:r w:rsidRPr="00C75121">
        <w:rPr>
          <w:rStyle w:val="FootnoteReference"/>
          <w:sz w:val="24"/>
          <w:szCs w:val="24"/>
        </w:rPr>
        <w:footnoteRef/>
      </w:r>
      <w:r w:rsidRPr="00E24506" w:rsidR="00A110D9">
        <w:rPr>
          <w:sz w:val="24"/>
          <w:szCs w:val="24"/>
          <w:lang w:val="fi-FI"/>
        </w:rPr>
        <w:t xml:space="preserve"> </w:t>
      </w:r>
      <w:r w:rsidRPr="00E24506" w:rsidR="00A110D9">
        <w:rPr>
          <w:sz w:val="24"/>
          <w:szCs w:val="24"/>
          <w:lang w:val="fi-FI"/>
        </w:rPr>
        <w:tab/>
      </w:r>
      <w:hyperlink r:id="rId11" w:history="1">
        <w:r w:rsidRPr="00E24506">
          <w:rPr>
            <w:rStyle w:val="Hyperlink"/>
            <w:sz w:val="24"/>
            <w:szCs w:val="24"/>
            <w:lang w:val="fi-FI"/>
          </w:rPr>
          <w:t>https://www.eea.europa.eu/en/analysis/publications/beating-cardiovascular-disease-the-role-of-europes-environment</w:t>
        </w:r>
      </w:hyperlink>
      <w:r w:rsidRPr="00E24506">
        <w:rPr>
          <w:sz w:val="24"/>
          <w:szCs w:val="24"/>
          <w:lang w:val="fi-FI"/>
        </w:rPr>
        <w:t>.</w:t>
      </w:r>
    </w:p>
  </w:footnote>
  <w:footnote w:id="15">
    <w:p w:rsidR="009D2B59" w:rsidRPr="00E24506" w:rsidP="00A110D9" w14:paraId="64871CE9" w14:textId="03EF1582">
      <w:pPr>
        <w:pStyle w:val="FootnoteText"/>
        <w:ind w:left="567" w:hanging="567"/>
        <w:rPr>
          <w:sz w:val="24"/>
          <w:szCs w:val="24"/>
          <w:lang w:val="fi-FI"/>
        </w:rPr>
      </w:pPr>
      <w:r w:rsidRPr="00C75121">
        <w:rPr>
          <w:rStyle w:val="FootnoteReference"/>
          <w:sz w:val="24"/>
          <w:szCs w:val="24"/>
        </w:rPr>
        <w:footnoteRef/>
      </w:r>
      <w:r w:rsidRPr="00E24506" w:rsidR="00A110D9">
        <w:rPr>
          <w:sz w:val="24"/>
          <w:szCs w:val="24"/>
          <w:lang w:val="fi-FI"/>
        </w:rPr>
        <w:t xml:space="preserve"> </w:t>
      </w:r>
      <w:r w:rsidRPr="00E24506" w:rsidR="00A110D9">
        <w:rPr>
          <w:sz w:val="24"/>
          <w:szCs w:val="24"/>
          <w:lang w:val="fi-FI"/>
        </w:rPr>
        <w:tab/>
      </w:r>
      <w:hyperlink r:id="rId12" w:history="1">
        <w:r w:rsidRPr="00E24506">
          <w:rPr>
            <w:rStyle w:val="Hyperlink"/>
            <w:sz w:val="24"/>
            <w:szCs w:val="24"/>
            <w:lang w:val="fi-FI"/>
          </w:rPr>
          <w:t>https://world-heart-federation.org/what-we-do/prevention/</w:t>
        </w:r>
      </w:hyperlink>
      <w:r w:rsidRPr="00E24506">
        <w:rPr>
          <w:sz w:val="24"/>
          <w:szCs w:val="24"/>
          <w:lang w:val="fi-FI"/>
        </w:rPr>
        <w:t>.</w:t>
      </w:r>
    </w:p>
  </w:footnote>
  <w:footnote w:id="16">
    <w:p w:rsidR="009D2B59" w:rsidRPr="00E24506" w:rsidP="00A110D9" w14:paraId="2E6D12A7" w14:textId="7F584FE8">
      <w:pPr>
        <w:pStyle w:val="FootnoteText"/>
        <w:ind w:left="567" w:hanging="567"/>
        <w:rPr>
          <w:sz w:val="24"/>
          <w:szCs w:val="24"/>
          <w:lang w:val="fi-FI"/>
        </w:rPr>
      </w:pPr>
      <w:r w:rsidRPr="00C75121">
        <w:rPr>
          <w:rStyle w:val="FootnoteReference"/>
          <w:sz w:val="24"/>
          <w:szCs w:val="24"/>
        </w:rPr>
        <w:footnoteRef/>
      </w:r>
      <w:r w:rsidRPr="00E24506" w:rsidR="00A110D9">
        <w:rPr>
          <w:sz w:val="24"/>
          <w:szCs w:val="24"/>
          <w:lang w:val="fi-FI"/>
        </w:rPr>
        <w:t xml:space="preserve"> </w:t>
      </w:r>
      <w:r w:rsidRPr="00E24506" w:rsidR="00A110D9">
        <w:rPr>
          <w:sz w:val="24"/>
          <w:szCs w:val="24"/>
          <w:lang w:val="fi-FI"/>
        </w:rPr>
        <w:tab/>
      </w:r>
      <w:hyperlink r:id="rId13" w:anchor="tablegrp-d1e19578-1bd943d292" w:history="1">
        <w:r w:rsidRPr="00E24506">
          <w:rPr>
            <w:rStyle w:val="Hyperlink"/>
            <w:sz w:val="24"/>
            <w:szCs w:val="24"/>
            <w:lang w:val="fi-FI"/>
          </w:rPr>
          <w:t>https://www.oecd.org/en/publications/the-state-of-cardiovascular-health-in-the-european-union_ea7a15f4-en/full-report/preventing-and-identifying-cvd-targeting-key-risk-factors_df4bf1f4.html#tablegrp-d1e19578-1bd943d292</w:t>
        </w:r>
      </w:hyperlink>
      <w:r w:rsidRPr="00E24506">
        <w:rPr>
          <w:sz w:val="24"/>
          <w:szCs w:val="24"/>
          <w:lang w:val="fi-FI"/>
        </w:rPr>
        <w:t>.</w:t>
      </w:r>
    </w:p>
  </w:footnote>
  <w:footnote w:id="17">
    <w:p w:rsidR="009D2B59" w:rsidRPr="00E24506" w:rsidP="00A110D9" w14:paraId="29715BBF" w14:textId="3126AE36">
      <w:pPr>
        <w:pStyle w:val="FootnoteText"/>
        <w:ind w:left="567" w:hanging="567"/>
        <w:rPr>
          <w:sz w:val="24"/>
          <w:szCs w:val="24"/>
          <w:lang w:val="fi-FI"/>
        </w:rPr>
      </w:pPr>
      <w:r w:rsidRPr="00C75121">
        <w:rPr>
          <w:rStyle w:val="FootnoteReference"/>
          <w:sz w:val="24"/>
          <w:szCs w:val="24"/>
        </w:rPr>
        <w:footnoteRef/>
      </w:r>
      <w:r w:rsidRPr="00E24506" w:rsidR="00A110D9">
        <w:rPr>
          <w:sz w:val="24"/>
          <w:szCs w:val="24"/>
          <w:lang w:val="fi-FI"/>
        </w:rPr>
        <w:t xml:space="preserve"> </w:t>
      </w:r>
      <w:r w:rsidRPr="00E24506" w:rsidR="00A110D9">
        <w:rPr>
          <w:sz w:val="24"/>
          <w:szCs w:val="24"/>
          <w:lang w:val="fi-FI"/>
        </w:rPr>
        <w:tab/>
      </w:r>
      <w:hyperlink r:id="rId14" w:history="1">
        <w:r w:rsidRPr="00E24506">
          <w:rPr>
            <w:rStyle w:val="Hyperlink"/>
            <w:sz w:val="24"/>
            <w:szCs w:val="24"/>
            <w:lang w:val="fi-FI"/>
          </w:rPr>
          <w:t>https://www.oecd.org/en/publications/the-heavy-burden-of-obesity_67450d67-en/full-report/component-6.html</w:t>
        </w:r>
      </w:hyperlink>
      <w:r w:rsidRPr="00E24506">
        <w:rPr>
          <w:sz w:val="24"/>
          <w:szCs w:val="24"/>
          <w:lang w:val="fi-FI"/>
        </w:rPr>
        <w:t>.</w:t>
      </w:r>
    </w:p>
  </w:footnote>
  <w:footnote w:id="18">
    <w:p w:rsidR="009D2B59" w:rsidRPr="00E24506" w:rsidP="00A110D9" w14:paraId="7CD9885F" w14:textId="025DA752">
      <w:pPr>
        <w:pStyle w:val="FootnoteText"/>
        <w:ind w:left="567" w:hanging="567"/>
        <w:rPr>
          <w:sz w:val="24"/>
          <w:szCs w:val="24"/>
          <w:lang w:val="fi-FI"/>
        </w:rPr>
      </w:pPr>
      <w:r w:rsidRPr="00C75121">
        <w:rPr>
          <w:rStyle w:val="FootnoteReference"/>
          <w:sz w:val="24"/>
          <w:szCs w:val="24"/>
        </w:rPr>
        <w:footnoteRef/>
      </w:r>
      <w:r w:rsidRPr="00E24506" w:rsidR="00A110D9">
        <w:rPr>
          <w:sz w:val="24"/>
          <w:szCs w:val="24"/>
          <w:lang w:val="fi-FI"/>
        </w:rPr>
        <w:t xml:space="preserve"> </w:t>
      </w:r>
      <w:r w:rsidRPr="00E24506" w:rsidR="00A110D9">
        <w:rPr>
          <w:sz w:val="24"/>
          <w:szCs w:val="24"/>
          <w:lang w:val="fi-FI"/>
        </w:rPr>
        <w:tab/>
      </w:r>
      <w:hyperlink r:id="rId15" w:history="1">
        <w:r w:rsidRPr="00E24506">
          <w:rPr>
            <w:rStyle w:val="Hyperlink"/>
            <w:sz w:val="24"/>
            <w:szCs w:val="24"/>
            <w:lang w:val="fi-FI"/>
          </w:rPr>
          <w:t>https://www.revespcardiol.org/en-psychiatric-behavioral-aspects-cardiovascular-disease-articulo-S1885585711004683</w:t>
        </w:r>
      </w:hyperlink>
      <w:r w:rsidRPr="00E24506">
        <w:rPr>
          <w:sz w:val="24"/>
          <w:szCs w:val="24"/>
          <w:lang w:val="fi-FI"/>
        </w:rPr>
        <w:t>.</w:t>
      </w:r>
    </w:p>
  </w:footnote>
  <w:footnote w:id="19">
    <w:p w:rsidR="009D2B59" w:rsidRPr="00E24506" w:rsidP="00A110D9" w14:paraId="4051AA7C" w14:textId="438BB35B">
      <w:pPr>
        <w:pStyle w:val="FootnoteText"/>
        <w:ind w:left="567" w:hanging="567"/>
        <w:rPr>
          <w:sz w:val="24"/>
          <w:szCs w:val="24"/>
          <w:lang w:val="fi-FI"/>
        </w:rPr>
      </w:pPr>
      <w:r w:rsidRPr="00C75121">
        <w:rPr>
          <w:rStyle w:val="FootnoteReference"/>
          <w:sz w:val="24"/>
          <w:szCs w:val="24"/>
        </w:rPr>
        <w:footnoteRef/>
      </w:r>
      <w:r w:rsidRPr="00E24506" w:rsidR="00A110D9">
        <w:rPr>
          <w:sz w:val="24"/>
          <w:szCs w:val="24"/>
          <w:lang w:val="fi-FI"/>
        </w:rPr>
        <w:t xml:space="preserve"> </w:t>
      </w:r>
      <w:r w:rsidRPr="00E24506" w:rsidR="00A110D9">
        <w:rPr>
          <w:sz w:val="24"/>
          <w:szCs w:val="24"/>
          <w:lang w:val="fi-FI"/>
        </w:rPr>
        <w:tab/>
      </w:r>
      <w:hyperlink r:id="rId16" w:history="1">
        <w:r w:rsidRPr="00E24506">
          <w:rPr>
            <w:rStyle w:val="Hyperlink"/>
            <w:sz w:val="24"/>
            <w:szCs w:val="24"/>
            <w:lang w:val="fi-FI"/>
          </w:rPr>
          <w:t>https://pmc.ncbi.nlm.nih.gov/articles/PMC7068361/</w:t>
        </w:r>
      </w:hyperlink>
      <w:r w:rsidRPr="00E24506">
        <w:rPr>
          <w:sz w:val="24"/>
          <w:szCs w:val="24"/>
          <w:lang w:val="fi-FI"/>
        </w:rPr>
        <w:t>.</w:t>
      </w:r>
    </w:p>
  </w:footnote>
  <w:footnote w:id="20">
    <w:p w:rsidR="009D2B59" w:rsidRPr="00E24506" w:rsidP="00A110D9" w14:paraId="18062832" w14:textId="1DBBE152">
      <w:pPr>
        <w:pStyle w:val="FootnoteText"/>
        <w:ind w:left="567" w:hanging="567"/>
        <w:rPr>
          <w:sz w:val="24"/>
          <w:szCs w:val="24"/>
          <w:lang w:val="fi-FI"/>
        </w:rPr>
      </w:pPr>
      <w:r w:rsidRPr="00C75121">
        <w:rPr>
          <w:rStyle w:val="FootnoteReference"/>
          <w:sz w:val="24"/>
          <w:szCs w:val="24"/>
        </w:rPr>
        <w:footnoteRef/>
      </w:r>
      <w:r w:rsidRPr="00E24506" w:rsidR="00A110D9">
        <w:rPr>
          <w:sz w:val="24"/>
          <w:szCs w:val="24"/>
          <w:lang w:val="fi-FI"/>
        </w:rPr>
        <w:t xml:space="preserve"> </w:t>
      </w:r>
      <w:r w:rsidRPr="00E24506" w:rsidR="00A110D9">
        <w:rPr>
          <w:sz w:val="24"/>
          <w:szCs w:val="24"/>
          <w:lang w:val="fi-FI"/>
        </w:rPr>
        <w:tab/>
      </w:r>
      <w:hyperlink r:id="rId17" w:history="1">
        <w:r w:rsidRPr="00E24506">
          <w:rPr>
            <w:rStyle w:val="Hyperlink"/>
            <w:sz w:val="24"/>
            <w:szCs w:val="24"/>
            <w:lang w:val="fi-FI"/>
          </w:rPr>
          <w:t>https://www.eea.europa.eu/en/analysis/publications/unequal-exposure-and-unequal-impacts</w:t>
        </w:r>
      </w:hyperlink>
      <w:r w:rsidRPr="00E24506">
        <w:rPr>
          <w:sz w:val="24"/>
          <w:szCs w:val="24"/>
          <w:lang w:val="fi-FI"/>
        </w:rPr>
        <w:t xml:space="preserve"> </w:t>
      </w:r>
      <w:hyperlink r:id="rId18" w:history="1">
        <w:r w:rsidRPr="00E24506">
          <w:rPr>
            <w:rStyle w:val="Hyperlink"/>
            <w:sz w:val="24"/>
            <w:szCs w:val="24"/>
            <w:lang w:val="fi-FI"/>
          </w:rPr>
          <w:t>https://www.who.int/europe/publications/i/item/WHO-EURO-2019-3507-43266-60638.</w:t>
        </w:r>
      </w:hyperlink>
    </w:p>
  </w:footnote>
  <w:footnote w:id="21">
    <w:p w:rsidR="009D2B59" w:rsidRPr="00E24506" w:rsidP="00A110D9" w14:paraId="3F40D524" w14:textId="17285F8E">
      <w:pPr>
        <w:pStyle w:val="FootnoteText"/>
        <w:ind w:left="567" w:hanging="567"/>
        <w:rPr>
          <w:sz w:val="24"/>
          <w:szCs w:val="24"/>
          <w:lang w:val="fi-FI"/>
        </w:rPr>
      </w:pPr>
      <w:r w:rsidRPr="00C75121">
        <w:rPr>
          <w:rStyle w:val="FootnoteReference"/>
          <w:sz w:val="24"/>
          <w:szCs w:val="24"/>
        </w:rPr>
        <w:footnoteRef/>
      </w:r>
      <w:r w:rsidRPr="00E24506" w:rsidR="00A110D9">
        <w:rPr>
          <w:sz w:val="24"/>
          <w:szCs w:val="24"/>
          <w:lang w:val="fi-FI"/>
        </w:rPr>
        <w:t xml:space="preserve"> </w:t>
      </w:r>
      <w:r w:rsidRPr="00E24506" w:rsidR="00A110D9">
        <w:rPr>
          <w:sz w:val="24"/>
          <w:szCs w:val="24"/>
          <w:lang w:val="fi-FI"/>
        </w:rPr>
        <w:tab/>
      </w:r>
      <w:hyperlink r:id="rId13" w:anchor="section-d1e26541-1bd943d292" w:history="1">
        <w:r w:rsidRPr="00E24506">
          <w:rPr>
            <w:rStyle w:val="Hyperlink"/>
            <w:sz w:val="24"/>
            <w:szCs w:val="24"/>
            <w:lang w:val="fi-FI"/>
          </w:rPr>
          <w:t>https://www.oecd.org/en/publications/the-state-of-cardiovascular-health-in-the-european-union_ea7a15f4-en/full-report/preventing-and-identifying-cvd-targeting-key-risk-factors_df4bf1f4.html#section-d1e26541-1bd943d292</w:t>
        </w:r>
      </w:hyperlink>
      <w:r w:rsidRPr="00E24506">
        <w:rPr>
          <w:sz w:val="24"/>
          <w:szCs w:val="24"/>
          <w:lang w:val="fi-FI"/>
        </w:rPr>
        <w:t>.</w:t>
      </w:r>
    </w:p>
  </w:footnote>
  <w:footnote w:id="22">
    <w:p w:rsidR="009D2B59" w:rsidRPr="00E24506" w:rsidP="00A110D9" w14:paraId="353D8ACA" w14:textId="637B6F92">
      <w:pPr>
        <w:pStyle w:val="FootnoteText"/>
        <w:ind w:left="567" w:hanging="567"/>
        <w:rPr>
          <w:sz w:val="24"/>
          <w:szCs w:val="24"/>
          <w:lang w:val="fi-FI"/>
        </w:rPr>
      </w:pPr>
      <w:r w:rsidRPr="00C75121">
        <w:rPr>
          <w:rStyle w:val="FootnoteReference"/>
          <w:sz w:val="24"/>
          <w:szCs w:val="24"/>
        </w:rPr>
        <w:footnoteRef/>
      </w:r>
      <w:r w:rsidRPr="00E24506" w:rsidR="00A110D9">
        <w:rPr>
          <w:sz w:val="24"/>
          <w:szCs w:val="24"/>
          <w:lang w:val="fi-FI"/>
        </w:rPr>
        <w:t xml:space="preserve"> </w:t>
      </w:r>
      <w:r w:rsidRPr="00E24506" w:rsidR="00A110D9">
        <w:rPr>
          <w:sz w:val="24"/>
          <w:szCs w:val="24"/>
          <w:lang w:val="fi-FI"/>
        </w:rPr>
        <w:tab/>
      </w:r>
      <w:hyperlink r:id="rId19" w:history="1">
        <w:r w:rsidRPr="00E24506">
          <w:rPr>
            <w:rStyle w:val="Hyperlink"/>
            <w:sz w:val="24"/>
            <w:szCs w:val="24"/>
            <w:lang w:val="fi-FI"/>
          </w:rPr>
          <w:t>https://doi.org/10.1186/s12905-025-03927-5</w:t>
        </w:r>
      </w:hyperlink>
      <w:r w:rsidRPr="00E24506">
        <w:rPr>
          <w:sz w:val="24"/>
          <w:szCs w:val="24"/>
          <w:lang w:val="fi-FI"/>
        </w:rPr>
        <w:t>.</w:t>
      </w:r>
    </w:p>
  </w:footnote>
  <w:footnote w:id="23">
    <w:p w:rsidR="009D2B59" w:rsidRPr="00E24506" w:rsidP="00A110D9" w14:paraId="15023084" w14:textId="312D80E6">
      <w:pPr>
        <w:pStyle w:val="FootnoteText"/>
        <w:ind w:left="567" w:hanging="567"/>
        <w:rPr>
          <w:sz w:val="24"/>
          <w:szCs w:val="24"/>
          <w:lang w:val="fi-FI"/>
        </w:rPr>
      </w:pPr>
      <w:r w:rsidRPr="00C75121">
        <w:rPr>
          <w:rStyle w:val="FootnoteReference"/>
          <w:sz w:val="24"/>
          <w:szCs w:val="24"/>
        </w:rPr>
        <w:footnoteRef/>
      </w:r>
      <w:r w:rsidRPr="00E24506" w:rsidR="00A110D9">
        <w:rPr>
          <w:sz w:val="24"/>
          <w:szCs w:val="24"/>
          <w:lang w:val="fi-FI"/>
        </w:rPr>
        <w:t xml:space="preserve"> </w:t>
      </w:r>
      <w:r w:rsidRPr="00E24506" w:rsidR="00A110D9">
        <w:rPr>
          <w:sz w:val="24"/>
          <w:szCs w:val="24"/>
          <w:lang w:val="fi-FI"/>
        </w:rPr>
        <w:tab/>
      </w:r>
      <w:hyperlink r:id="rId20" w:history="1">
        <w:r w:rsidRPr="00E24506">
          <w:rPr>
            <w:rStyle w:val="Hyperlink"/>
            <w:sz w:val="24"/>
            <w:szCs w:val="24"/>
            <w:lang w:val="fi-FI"/>
          </w:rPr>
          <w:t>https://doi.org/10.1093/ejendo/lvad077</w:t>
        </w:r>
      </w:hyperlink>
      <w:r w:rsidRPr="00E24506">
        <w:rPr>
          <w:sz w:val="24"/>
          <w:szCs w:val="24"/>
          <w:lang w:val="fi-FI"/>
        </w:rPr>
        <w:t>.</w:t>
      </w:r>
    </w:p>
  </w:footnote>
  <w:footnote w:id="24">
    <w:p w:rsidR="009D2B59" w:rsidRPr="00E24506" w:rsidP="00A110D9" w14:paraId="100BF639" w14:textId="34722E0A">
      <w:pPr>
        <w:pStyle w:val="FootnoteText"/>
        <w:ind w:left="567" w:hanging="567"/>
        <w:rPr>
          <w:sz w:val="24"/>
          <w:szCs w:val="24"/>
          <w:lang w:val="fi-FI"/>
        </w:rPr>
      </w:pPr>
      <w:r w:rsidRPr="00C75121">
        <w:rPr>
          <w:rStyle w:val="FootnoteReference"/>
          <w:sz w:val="24"/>
          <w:szCs w:val="24"/>
        </w:rPr>
        <w:footnoteRef/>
      </w:r>
      <w:r w:rsidRPr="00E24506" w:rsidR="00A110D9">
        <w:rPr>
          <w:sz w:val="24"/>
          <w:szCs w:val="24"/>
          <w:lang w:val="fi-FI"/>
        </w:rPr>
        <w:t xml:space="preserve"> </w:t>
      </w:r>
      <w:r w:rsidRPr="00E24506" w:rsidR="00A110D9">
        <w:rPr>
          <w:sz w:val="24"/>
          <w:szCs w:val="24"/>
          <w:lang w:val="fi-FI"/>
        </w:rPr>
        <w:tab/>
      </w:r>
      <w:hyperlink r:id="rId21" w:history="1">
        <w:r w:rsidRPr="00E24506">
          <w:rPr>
            <w:rStyle w:val="Hyperlink"/>
            <w:sz w:val="24"/>
            <w:szCs w:val="24"/>
            <w:lang w:val="fi-FI"/>
          </w:rPr>
          <w:t>https://pmc.ncbi.nlm.nih.gov/articles/PMC8835179/</w:t>
        </w:r>
      </w:hyperlink>
      <w:r w:rsidRPr="00E24506">
        <w:rPr>
          <w:sz w:val="24"/>
          <w:szCs w:val="24"/>
          <w:lang w:val="fi-FI"/>
        </w:rPr>
        <w:t>.</w:t>
      </w:r>
    </w:p>
  </w:footnote>
  <w:footnote w:id="25">
    <w:p w:rsidR="009D2B59" w:rsidRPr="00E24506" w:rsidP="00A110D9" w14:paraId="35F19A03" w14:textId="595E86B3">
      <w:pPr>
        <w:pStyle w:val="FootnoteText"/>
        <w:ind w:left="567" w:hanging="567"/>
        <w:rPr>
          <w:sz w:val="24"/>
          <w:szCs w:val="24"/>
          <w:lang w:val="fi-FI"/>
        </w:rPr>
      </w:pPr>
      <w:r w:rsidRPr="00C75121">
        <w:rPr>
          <w:rStyle w:val="FootnoteReference"/>
          <w:sz w:val="24"/>
          <w:szCs w:val="24"/>
        </w:rPr>
        <w:footnoteRef/>
      </w:r>
      <w:r w:rsidRPr="00E24506" w:rsidR="00A110D9">
        <w:rPr>
          <w:sz w:val="24"/>
          <w:szCs w:val="24"/>
          <w:lang w:val="fi-FI"/>
        </w:rPr>
        <w:t xml:space="preserve"> </w:t>
      </w:r>
      <w:r w:rsidRPr="00E24506" w:rsidR="00A110D9">
        <w:rPr>
          <w:sz w:val="24"/>
          <w:szCs w:val="24"/>
          <w:lang w:val="fi-FI"/>
        </w:rPr>
        <w:tab/>
      </w:r>
      <w:hyperlink r:id="rId13" w:history="1">
        <w:r w:rsidRPr="00E24506">
          <w:rPr>
            <w:rStyle w:val="Hyperlink"/>
            <w:sz w:val="24"/>
            <w:szCs w:val="24"/>
            <w:lang w:val="fi-FI"/>
          </w:rPr>
          <w:t>https://www.oecd.org/en/publications/the-state-of-cardiovascular-health-in-the-european-union_ea7a15f4-en/full-report/preventing-and-identifying-cvd-targeting-key-risk-factors_df4bf1f4.html</w:t>
        </w:r>
      </w:hyperlink>
      <w:r w:rsidRPr="00E24506">
        <w:rPr>
          <w:sz w:val="24"/>
          <w:szCs w:val="24"/>
          <w:lang w:val="fi-FI"/>
        </w:rPr>
        <w:t>.</w:t>
      </w:r>
    </w:p>
  </w:footnote>
  <w:footnote w:id="26">
    <w:p w:rsidR="009D2B59" w:rsidRPr="00E24506" w:rsidP="00A110D9" w14:paraId="10AE2C80" w14:textId="4DE25EAD">
      <w:pPr>
        <w:pStyle w:val="FootnoteText"/>
        <w:ind w:left="567" w:hanging="567"/>
        <w:rPr>
          <w:sz w:val="24"/>
          <w:szCs w:val="24"/>
          <w:lang w:val="fi-FI"/>
        </w:rPr>
      </w:pPr>
      <w:r w:rsidRPr="00C75121">
        <w:rPr>
          <w:rStyle w:val="FootnoteReference"/>
          <w:sz w:val="24"/>
          <w:szCs w:val="24"/>
        </w:rPr>
        <w:footnoteRef/>
      </w:r>
      <w:r w:rsidRPr="00E24506" w:rsidR="00A110D9">
        <w:rPr>
          <w:sz w:val="24"/>
          <w:szCs w:val="24"/>
          <w:lang w:val="fi-FI"/>
        </w:rPr>
        <w:t xml:space="preserve"> </w:t>
      </w:r>
      <w:r w:rsidRPr="00E24506" w:rsidR="00A110D9">
        <w:rPr>
          <w:sz w:val="24"/>
          <w:szCs w:val="24"/>
          <w:lang w:val="fi-FI"/>
        </w:rPr>
        <w:tab/>
      </w:r>
      <w:hyperlink r:id="rId22" w:history="1">
        <w:r w:rsidRPr="00E24506">
          <w:rPr>
            <w:rStyle w:val="Hyperlink"/>
            <w:sz w:val="24"/>
            <w:szCs w:val="24"/>
            <w:lang w:val="fi-FI"/>
          </w:rPr>
          <w:t>https://www.escardio.org/news/press/press-releases/avoidable-inequalities-remain-in-cardiovascular-disease-burden-and-care/</w:t>
        </w:r>
      </w:hyperlink>
      <w:r w:rsidRPr="00E24506">
        <w:rPr>
          <w:sz w:val="24"/>
          <w:szCs w:val="24"/>
          <w:lang w:val="fi-FI"/>
        </w:rPr>
        <w:t>.</w:t>
      </w:r>
    </w:p>
  </w:footnote>
  <w:footnote w:id="27">
    <w:p w:rsidR="009D2B59" w:rsidRPr="00E24506" w:rsidP="00A110D9" w14:paraId="04EDE1F3" w14:textId="240D533B">
      <w:pPr>
        <w:pStyle w:val="FootnoteText"/>
        <w:ind w:left="567" w:hanging="567"/>
        <w:rPr>
          <w:sz w:val="24"/>
          <w:szCs w:val="24"/>
          <w:lang w:val="fi-FI"/>
        </w:rPr>
      </w:pPr>
      <w:r w:rsidRPr="00C75121">
        <w:rPr>
          <w:rStyle w:val="FootnoteReference"/>
          <w:sz w:val="24"/>
          <w:szCs w:val="24"/>
        </w:rPr>
        <w:footnoteRef/>
      </w:r>
      <w:r w:rsidRPr="00E24506" w:rsidR="00A110D9">
        <w:rPr>
          <w:sz w:val="24"/>
          <w:szCs w:val="24"/>
          <w:lang w:val="fi-FI"/>
        </w:rPr>
        <w:t xml:space="preserve"> </w:t>
      </w:r>
      <w:r w:rsidRPr="00E24506" w:rsidR="00A110D9">
        <w:rPr>
          <w:sz w:val="24"/>
          <w:szCs w:val="24"/>
          <w:lang w:val="fi-FI"/>
        </w:rPr>
        <w:tab/>
      </w:r>
      <w:hyperlink r:id="rId23" w:history="1">
        <w:r w:rsidRPr="00E24506">
          <w:rPr>
            <w:rStyle w:val="Hyperlink"/>
            <w:sz w:val="24"/>
            <w:szCs w:val="24"/>
            <w:lang w:val="fi-FI"/>
          </w:rPr>
          <w:t>https://www.cdc.gov/public-health-gateway/php/about/social-determinants-of-health.html</w:t>
        </w:r>
      </w:hyperlink>
      <w:r w:rsidRPr="00E24506">
        <w:rPr>
          <w:sz w:val="24"/>
          <w:szCs w:val="24"/>
          <w:lang w:val="fi-FI"/>
        </w:rPr>
        <w:t>.</w:t>
      </w:r>
    </w:p>
  </w:footnote>
  <w:footnote w:id="28">
    <w:p w:rsidR="009D2B59" w:rsidRPr="00E24506" w:rsidP="00A110D9" w14:paraId="3501EAA4" w14:textId="36A952CA">
      <w:pPr>
        <w:pStyle w:val="FootnoteText"/>
        <w:ind w:left="567" w:hanging="567"/>
        <w:rPr>
          <w:sz w:val="24"/>
          <w:szCs w:val="24"/>
          <w:lang w:val="fi-FI"/>
        </w:rPr>
      </w:pPr>
      <w:r w:rsidRPr="00C75121">
        <w:rPr>
          <w:rStyle w:val="FootnoteReference"/>
          <w:sz w:val="24"/>
          <w:szCs w:val="24"/>
        </w:rPr>
        <w:footnoteRef/>
      </w:r>
      <w:r w:rsidRPr="00E24506" w:rsidR="00A110D9">
        <w:rPr>
          <w:sz w:val="24"/>
          <w:szCs w:val="24"/>
          <w:lang w:val="fi-FI"/>
        </w:rPr>
        <w:t xml:space="preserve"> </w:t>
      </w:r>
      <w:r w:rsidRPr="00E24506" w:rsidR="00A110D9">
        <w:rPr>
          <w:sz w:val="24"/>
          <w:szCs w:val="24"/>
          <w:lang w:val="fi-FI"/>
        </w:rPr>
        <w:tab/>
      </w:r>
      <w:hyperlink r:id="rId24" w:anchor="tab=tab_1" w:history="1">
        <w:r w:rsidRPr="00E24506">
          <w:rPr>
            <w:rStyle w:val="Hyperlink"/>
            <w:sz w:val="24"/>
            <w:szCs w:val="24"/>
            <w:lang w:val="fi-FI"/>
          </w:rPr>
          <w:t>https://www.who.int/health-topics/social-determinants-of-health#tab=tab_1</w:t>
        </w:r>
      </w:hyperlink>
      <w:r w:rsidRPr="00E24506">
        <w:rPr>
          <w:sz w:val="24"/>
          <w:szCs w:val="24"/>
          <w:lang w:val="fi-FI"/>
        </w:rPr>
        <w:t>.</w:t>
      </w:r>
    </w:p>
  </w:footnote>
  <w:footnote w:id="29">
    <w:p w:rsidR="009D2B59" w:rsidRPr="00C75121" w:rsidP="00A110D9" w14:paraId="2593545F" w14:textId="79930FDC">
      <w:pPr>
        <w:pStyle w:val="FootnoteText"/>
        <w:ind w:left="567" w:hanging="567"/>
        <w:rPr>
          <w:sz w:val="24"/>
          <w:szCs w:val="24"/>
        </w:rPr>
      </w:pPr>
      <w:r w:rsidRPr="00C75121">
        <w:rPr>
          <w:rStyle w:val="FootnoteReference"/>
          <w:sz w:val="24"/>
          <w:szCs w:val="24"/>
        </w:rPr>
        <w:footnoteRef/>
      </w:r>
      <w:r w:rsidRPr="00C75121" w:rsidR="00A110D9">
        <w:rPr>
          <w:sz w:val="24"/>
          <w:szCs w:val="24"/>
        </w:rPr>
        <w:t xml:space="preserve"> </w:t>
      </w:r>
      <w:r w:rsidRPr="00C75121" w:rsidR="00A110D9">
        <w:rPr>
          <w:sz w:val="24"/>
          <w:szCs w:val="24"/>
        </w:rPr>
        <w:tab/>
      </w:r>
      <w:r w:rsidRPr="00C75121">
        <w:rPr>
          <w:sz w:val="24"/>
          <w:szCs w:val="24"/>
        </w:rPr>
        <w:t xml:space="preserve">Commission </w:t>
      </w:r>
      <w:r w:rsidRPr="00C75121">
        <w:rPr>
          <w:sz w:val="24"/>
          <w:szCs w:val="24"/>
        </w:rPr>
        <w:t>européenne:</w:t>
      </w:r>
      <w:r w:rsidRPr="00C75121">
        <w:rPr>
          <w:sz w:val="24"/>
          <w:szCs w:val="24"/>
        </w:rPr>
        <w:t xml:space="preserve"> Groupe de conseillers scientifiques principaux et direction générale de la recherche et de l’innovation, Vers une consommation alimentaire durable – Promouvoir des choix de consommation alimentaire sains, abordables et durables, Office des publications de l’Union européenne, 2023.</w:t>
      </w:r>
    </w:p>
  </w:footnote>
  <w:footnote w:id="30">
    <w:p w:rsidR="009D2B59" w:rsidRPr="00C75121" w:rsidP="00A110D9" w14:paraId="20187C3B" w14:textId="053B3B15">
      <w:pPr>
        <w:pStyle w:val="FootnoteText"/>
        <w:ind w:left="567" w:hanging="567"/>
        <w:rPr>
          <w:sz w:val="24"/>
          <w:szCs w:val="24"/>
        </w:rPr>
      </w:pPr>
      <w:r w:rsidRPr="00C75121">
        <w:rPr>
          <w:rStyle w:val="FootnoteReference"/>
          <w:sz w:val="24"/>
          <w:szCs w:val="24"/>
        </w:rPr>
        <w:footnoteRef/>
      </w:r>
      <w:r w:rsidRPr="00C75121" w:rsidR="00A110D9">
        <w:rPr>
          <w:sz w:val="24"/>
          <w:szCs w:val="24"/>
        </w:rPr>
        <w:t xml:space="preserve"> </w:t>
      </w:r>
      <w:r w:rsidRPr="00C75121" w:rsidR="00A110D9">
        <w:rPr>
          <w:sz w:val="24"/>
          <w:szCs w:val="24"/>
        </w:rPr>
        <w:tab/>
      </w:r>
      <w:r w:rsidRPr="00C75121">
        <w:rPr>
          <w:sz w:val="24"/>
          <w:szCs w:val="24"/>
        </w:rPr>
        <w:t>Outil de données de santé de l’IHME pour 2023.</w:t>
      </w:r>
    </w:p>
  </w:footnote>
  <w:footnote w:id="31">
    <w:p w:rsidR="009D2B59" w:rsidRPr="00C75121" w:rsidP="00A110D9" w14:paraId="6662B45B" w14:textId="25A5DF25">
      <w:pPr>
        <w:pStyle w:val="FootnoteText"/>
        <w:ind w:left="567" w:hanging="567"/>
        <w:rPr>
          <w:sz w:val="24"/>
          <w:szCs w:val="24"/>
        </w:rPr>
      </w:pPr>
      <w:r w:rsidRPr="00C75121">
        <w:rPr>
          <w:rStyle w:val="FootnoteReference"/>
          <w:sz w:val="24"/>
          <w:szCs w:val="24"/>
        </w:rPr>
        <w:footnoteRef/>
      </w:r>
      <w:r w:rsidRPr="00C75121" w:rsidR="00A110D9">
        <w:rPr>
          <w:sz w:val="24"/>
          <w:szCs w:val="24"/>
        </w:rPr>
        <w:t xml:space="preserve"> </w:t>
      </w:r>
      <w:r w:rsidRPr="00C75121" w:rsidR="00A110D9">
        <w:rPr>
          <w:sz w:val="24"/>
          <w:szCs w:val="24"/>
        </w:rPr>
        <w:tab/>
      </w:r>
      <w:r w:rsidRPr="00C75121">
        <w:rPr>
          <w:sz w:val="24"/>
          <w:szCs w:val="24"/>
        </w:rPr>
        <w:t>Holt-</w:t>
      </w:r>
      <w:r w:rsidRPr="00C75121">
        <w:rPr>
          <w:sz w:val="24"/>
          <w:szCs w:val="24"/>
        </w:rPr>
        <w:t>Lunstad</w:t>
      </w:r>
      <w:r w:rsidRPr="00C75121">
        <w:rPr>
          <w:sz w:val="24"/>
          <w:szCs w:val="24"/>
        </w:rPr>
        <w:t> J, Smith TB, Baker M, Harris T, Stephenson D.</w:t>
      </w:r>
      <w:r w:rsidRPr="00C75121">
        <w:rPr>
          <w:sz w:val="24"/>
          <w:szCs w:val="24"/>
        </w:rPr>
        <w:t xml:space="preserve"> «</w:t>
      </w:r>
      <w:r w:rsidRPr="00C75121">
        <w:rPr>
          <w:sz w:val="24"/>
          <w:szCs w:val="24"/>
        </w:rPr>
        <w:t>Loneliness</w:t>
      </w:r>
      <w:r w:rsidRPr="00C75121">
        <w:rPr>
          <w:sz w:val="24"/>
          <w:szCs w:val="24"/>
        </w:rPr>
        <w:t xml:space="preserve"> and Social Isolation as Risk </w:t>
      </w:r>
      <w:r w:rsidRPr="00C75121">
        <w:rPr>
          <w:sz w:val="24"/>
          <w:szCs w:val="24"/>
        </w:rPr>
        <w:t>Factors</w:t>
      </w:r>
      <w:r w:rsidRPr="00C75121">
        <w:rPr>
          <w:sz w:val="24"/>
          <w:szCs w:val="24"/>
        </w:rPr>
        <w:t xml:space="preserve"> for </w:t>
      </w:r>
      <w:r w:rsidRPr="00C75121">
        <w:rPr>
          <w:sz w:val="24"/>
          <w:szCs w:val="24"/>
        </w:rPr>
        <w:t>Mortality</w:t>
      </w:r>
      <w:r w:rsidRPr="00C75121">
        <w:rPr>
          <w:sz w:val="24"/>
          <w:szCs w:val="24"/>
        </w:rPr>
        <w:t>: A Meta-</w:t>
      </w:r>
      <w:r w:rsidRPr="00C75121">
        <w:rPr>
          <w:sz w:val="24"/>
          <w:szCs w:val="24"/>
        </w:rPr>
        <w:t>Analytic</w:t>
      </w:r>
      <w:r w:rsidRPr="00C75121">
        <w:rPr>
          <w:sz w:val="24"/>
          <w:szCs w:val="24"/>
        </w:rPr>
        <w:t xml:space="preserve"> </w:t>
      </w:r>
      <w:r w:rsidRPr="00C75121">
        <w:rPr>
          <w:sz w:val="24"/>
          <w:szCs w:val="24"/>
        </w:rPr>
        <w:t>Review</w:t>
      </w:r>
      <w:r w:rsidRPr="00C75121">
        <w:rPr>
          <w:sz w:val="24"/>
          <w:szCs w:val="24"/>
        </w:rPr>
        <w:t>» (La solitude et l’isolement social en tant que facteurs de risque de mortalité: une revue méta-analytique). Lien PMC.</w:t>
      </w:r>
    </w:p>
  </w:footnote>
  <w:footnote w:id="32">
    <w:p w:rsidR="009D2B59" w:rsidRPr="00C75121" w:rsidP="00A110D9" w14:paraId="73ADE77D" w14:textId="100E1611">
      <w:pPr>
        <w:pStyle w:val="FootnoteText"/>
        <w:ind w:left="567" w:hanging="567"/>
        <w:rPr>
          <w:sz w:val="24"/>
          <w:szCs w:val="24"/>
        </w:rPr>
      </w:pPr>
      <w:r w:rsidRPr="00C75121">
        <w:rPr>
          <w:rStyle w:val="FootnoteReference"/>
          <w:sz w:val="24"/>
          <w:szCs w:val="24"/>
        </w:rPr>
        <w:footnoteRef/>
      </w:r>
      <w:r w:rsidRPr="00C75121" w:rsidR="00A110D9">
        <w:rPr>
          <w:sz w:val="24"/>
          <w:szCs w:val="24"/>
        </w:rPr>
        <w:t xml:space="preserve"> </w:t>
      </w:r>
      <w:r w:rsidRPr="00C75121" w:rsidR="00A110D9">
        <w:rPr>
          <w:sz w:val="24"/>
          <w:szCs w:val="24"/>
        </w:rPr>
        <w:tab/>
      </w:r>
      <w:r w:rsidRPr="00C75121">
        <w:rPr>
          <w:sz w:val="24"/>
          <w:szCs w:val="24"/>
        </w:rPr>
        <w:t>B. A. Stark et al.,</w:t>
      </w:r>
      <w:r w:rsidRPr="00C75121">
        <w:rPr>
          <w:sz w:val="24"/>
          <w:szCs w:val="24"/>
        </w:rPr>
        <w:t xml:space="preserve"> «Global</w:t>
      </w:r>
      <w:r w:rsidRPr="00C75121">
        <w:rPr>
          <w:sz w:val="24"/>
          <w:szCs w:val="24"/>
        </w:rPr>
        <w:t xml:space="preserve">, </w:t>
      </w:r>
      <w:r w:rsidRPr="00C75121">
        <w:rPr>
          <w:sz w:val="24"/>
          <w:szCs w:val="24"/>
        </w:rPr>
        <w:t>Regional</w:t>
      </w:r>
      <w:r w:rsidRPr="00C75121">
        <w:rPr>
          <w:sz w:val="24"/>
          <w:szCs w:val="24"/>
        </w:rPr>
        <w:t xml:space="preserve">, and National </w:t>
      </w:r>
      <w:r w:rsidRPr="00C75121">
        <w:rPr>
          <w:sz w:val="24"/>
          <w:szCs w:val="24"/>
        </w:rPr>
        <w:t>Burden</w:t>
      </w:r>
      <w:r w:rsidRPr="00C75121">
        <w:rPr>
          <w:sz w:val="24"/>
          <w:szCs w:val="24"/>
        </w:rPr>
        <w:t xml:space="preserve"> of </w:t>
      </w:r>
      <w:r w:rsidRPr="00C75121">
        <w:rPr>
          <w:sz w:val="24"/>
          <w:szCs w:val="24"/>
        </w:rPr>
        <w:t>Cardiovascular</w:t>
      </w:r>
      <w:r w:rsidRPr="00C75121">
        <w:rPr>
          <w:sz w:val="24"/>
          <w:szCs w:val="24"/>
        </w:rPr>
        <w:t xml:space="preserve"> </w:t>
      </w:r>
      <w:r w:rsidRPr="00C75121">
        <w:rPr>
          <w:sz w:val="24"/>
          <w:szCs w:val="24"/>
        </w:rPr>
        <w:t>Diseases</w:t>
      </w:r>
      <w:r w:rsidRPr="00C75121">
        <w:rPr>
          <w:sz w:val="24"/>
          <w:szCs w:val="24"/>
        </w:rPr>
        <w:t xml:space="preserve"> and Risk </w:t>
      </w:r>
      <w:r w:rsidRPr="00C75121">
        <w:rPr>
          <w:sz w:val="24"/>
          <w:szCs w:val="24"/>
        </w:rPr>
        <w:t>Factors</w:t>
      </w:r>
      <w:r w:rsidRPr="00C75121">
        <w:rPr>
          <w:sz w:val="24"/>
          <w:szCs w:val="24"/>
        </w:rPr>
        <w:t xml:space="preserve">, 1990-2023» (Charge mondiale, régionale et nationale des maladies cardiovasculaires et des facteurs de risque, 1990-2023) </w:t>
      </w:r>
      <w:r w:rsidRPr="00C75121">
        <w:rPr>
          <w:i/>
          <w:sz w:val="24"/>
          <w:szCs w:val="24"/>
        </w:rPr>
        <w:t xml:space="preserve">Journal of the American </w:t>
      </w:r>
      <w:r w:rsidRPr="00C75121">
        <w:rPr>
          <w:i/>
          <w:sz w:val="24"/>
          <w:szCs w:val="24"/>
        </w:rPr>
        <w:t>College</w:t>
      </w:r>
      <w:r w:rsidRPr="00C75121">
        <w:rPr>
          <w:i/>
          <w:sz w:val="24"/>
          <w:szCs w:val="24"/>
        </w:rPr>
        <w:t xml:space="preserve"> of </w:t>
      </w:r>
      <w:r w:rsidRPr="00C75121">
        <w:rPr>
          <w:i/>
          <w:sz w:val="24"/>
          <w:szCs w:val="24"/>
        </w:rPr>
        <w:t>Cardiology</w:t>
      </w:r>
      <w:r w:rsidRPr="00C75121">
        <w:rPr>
          <w:sz w:val="24"/>
          <w:szCs w:val="24"/>
        </w:rPr>
        <w:t xml:space="preserve"> 86, no 22 (2025): 2167–2243, https://doi.org/10.1016/j.jacc.2025.08.015.</w:t>
      </w:r>
    </w:p>
  </w:footnote>
  <w:footnote w:id="33">
    <w:p w:rsidR="009D2B59" w:rsidRPr="00C75121" w:rsidP="00A110D9" w14:paraId="71969DD8" w14:textId="1F1D586B">
      <w:pPr>
        <w:pStyle w:val="FootnoteText"/>
        <w:ind w:left="567" w:hanging="567"/>
        <w:rPr>
          <w:sz w:val="24"/>
          <w:szCs w:val="24"/>
        </w:rPr>
      </w:pPr>
      <w:r w:rsidRPr="00C75121">
        <w:rPr>
          <w:rStyle w:val="FootnoteReference"/>
          <w:sz w:val="24"/>
          <w:szCs w:val="24"/>
        </w:rPr>
        <w:footnoteRef/>
      </w:r>
      <w:r w:rsidRPr="00C75121" w:rsidR="00A110D9">
        <w:rPr>
          <w:sz w:val="24"/>
          <w:szCs w:val="24"/>
        </w:rPr>
        <w:t xml:space="preserve"> </w:t>
      </w:r>
      <w:r w:rsidRPr="00C75121" w:rsidR="00A110D9">
        <w:rPr>
          <w:sz w:val="24"/>
          <w:szCs w:val="24"/>
        </w:rPr>
        <w:tab/>
      </w:r>
      <w:hyperlink r:id="rId25" w:history="1">
        <w:r w:rsidRPr="00C75121">
          <w:rPr>
            <w:rStyle w:val="Hyperlink"/>
            <w:sz w:val="24"/>
            <w:szCs w:val="24"/>
          </w:rPr>
          <w:t>https://pubmed.ncbi.nlm.nih.gov/37290538/</w:t>
        </w:r>
      </w:hyperlink>
      <w:r w:rsidRPr="00C75121">
        <w:rPr>
          <w:sz w:val="24"/>
          <w:szCs w:val="24"/>
        </w:rPr>
        <w:t>.</w:t>
      </w:r>
    </w:p>
  </w:footnote>
  <w:footnote w:id="34">
    <w:p w:rsidR="009D2B59" w:rsidRPr="00C75121" w:rsidP="00A110D9" w14:paraId="3A3255FD" w14:textId="330118BF">
      <w:pPr>
        <w:pStyle w:val="FootnoteText"/>
        <w:ind w:left="567" w:hanging="567"/>
        <w:rPr>
          <w:sz w:val="24"/>
          <w:szCs w:val="24"/>
        </w:rPr>
      </w:pPr>
      <w:r w:rsidRPr="00C75121">
        <w:rPr>
          <w:rStyle w:val="FootnoteReference"/>
          <w:sz w:val="24"/>
          <w:szCs w:val="24"/>
        </w:rPr>
        <w:footnoteRef/>
      </w:r>
      <w:r w:rsidRPr="00C75121" w:rsidR="00A110D9">
        <w:rPr>
          <w:sz w:val="24"/>
          <w:szCs w:val="24"/>
        </w:rPr>
        <w:t xml:space="preserve"> </w:t>
      </w:r>
      <w:r w:rsidRPr="00C75121" w:rsidR="00A110D9">
        <w:rPr>
          <w:sz w:val="24"/>
          <w:szCs w:val="24"/>
        </w:rPr>
        <w:tab/>
      </w:r>
      <w:r w:rsidRPr="00E24506" w:rsidR="00C75121">
        <w:rPr>
          <w:sz w:val="24"/>
          <w:szCs w:val="24"/>
        </w:rPr>
        <w:t xml:space="preserve">M. </w:t>
      </w:r>
      <w:r w:rsidRPr="00E24506" w:rsidR="00C75121">
        <w:rPr>
          <w:sz w:val="24"/>
          <w:szCs w:val="24"/>
        </w:rPr>
        <w:t>Raess</w:t>
      </w:r>
      <w:r w:rsidRPr="00E24506" w:rsidR="00C75121">
        <w:rPr>
          <w:sz w:val="24"/>
          <w:szCs w:val="24"/>
        </w:rPr>
        <w:t xml:space="preserve">, A. V. M. </w:t>
      </w:r>
      <w:r w:rsidRPr="00E24506" w:rsidR="00C75121">
        <w:rPr>
          <w:sz w:val="24"/>
          <w:szCs w:val="24"/>
        </w:rPr>
        <w:t>Brentani</w:t>
      </w:r>
      <w:r w:rsidRPr="00E24506" w:rsidR="00C75121">
        <w:rPr>
          <w:sz w:val="24"/>
          <w:szCs w:val="24"/>
        </w:rPr>
        <w:t xml:space="preserve">, B. </w:t>
      </w:r>
      <w:r w:rsidRPr="00E24506" w:rsidR="00C75121">
        <w:rPr>
          <w:sz w:val="24"/>
          <w:szCs w:val="24"/>
        </w:rPr>
        <w:t>Flückiger</w:t>
      </w:r>
      <w:r w:rsidRPr="00E24506" w:rsidR="00C75121">
        <w:rPr>
          <w:sz w:val="24"/>
          <w:szCs w:val="24"/>
        </w:rPr>
        <w:t xml:space="preserve">, B. </w:t>
      </w:r>
      <w:r w:rsidRPr="00E24506" w:rsidR="00C75121">
        <w:rPr>
          <w:sz w:val="24"/>
          <w:szCs w:val="24"/>
        </w:rPr>
        <w:t>Ledebur</w:t>
      </w:r>
      <w:r w:rsidRPr="00E24506" w:rsidR="00C75121">
        <w:rPr>
          <w:sz w:val="24"/>
          <w:szCs w:val="24"/>
        </w:rPr>
        <w:t xml:space="preserve"> de </w:t>
      </w:r>
      <w:r w:rsidRPr="00E24506" w:rsidR="00C75121">
        <w:rPr>
          <w:sz w:val="24"/>
          <w:szCs w:val="24"/>
        </w:rPr>
        <w:t>Antas</w:t>
      </w:r>
      <w:r w:rsidRPr="00E24506" w:rsidR="00C75121">
        <w:rPr>
          <w:sz w:val="24"/>
          <w:szCs w:val="24"/>
        </w:rPr>
        <w:t xml:space="preserve"> de Campos, G. Fink, M. </w:t>
      </w:r>
      <w:r w:rsidRPr="00E24506" w:rsidR="00C75121">
        <w:rPr>
          <w:sz w:val="24"/>
          <w:szCs w:val="24"/>
        </w:rPr>
        <w:t>Röösli</w:t>
      </w:r>
      <w:r w:rsidRPr="00E24506" w:rsidR="00C75121">
        <w:rPr>
          <w:sz w:val="24"/>
          <w:szCs w:val="24"/>
        </w:rPr>
        <w:t>,</w:t>
      </w:r>
      <w:r w:rsidRPr="00E24506" w:rsidR="00C75121">
        <w:rPr>
          <w:sz w:val="24"/>
          <w:szCs w:val="24"/>
        </w:rPr>
        <w:t xml:space="preserve"> </w:t>
      </w:r>
      <w:r w:rsidRPr="00C75121" w:rsidR="00C75121">
        <w:rPr>
          <w:sz w:val="24"/>
          <w:szCs w:val="24"/>
        </w:rPr>
        <w:t>«</w:t>
      </w:r>
      <w:r w:rsidRPr="00E24506" w:rsidR="00C75121">
        <w:rPr>
          <w:sz w:val="24"/>
          <w:szCs w:val="24"/>
        </w:rPr>
        <w:t>Association</w:t>
      </w:r>
      <w:r w:rsidRPr="00E24506" w:rsidR="00C75121">
        <w:rPr>
          <w:sz w:val="24"/>
          <w:szCs w:val="24"/>
        </w:rPr>
        <w:t xml:space="preserve"> </w:t>
      </w:r>
      <w:r w:rsidRPr="00E24506" w:rsidR="00C75121">
        <w:rPr>
          <w:sz w:val="24"/>
          <w:szCs w:val="24"/>
        </w:rPr>
        <w:t>between</w:t>
      </w:r>
      <w:r w:rsidRPr="00E24506" w:rsidR="00C75121">
        <w:rPr>
          <w:sz w:val="24"/>
          <w:szCs w:val="24"/>
        </w:rPr>
        <w:t xml:space="preserve"> </w:t>
      </w:r>
      <w:r w:rsidRPr="00E24506" w:rsidR="00C75121">
        <w:rPr>
          <w:sz w:val="24"/>
          <w:szCs w:val="24"/>
        </w:rPr>
        <w:t>community</w:t>
      </w:r>
      <w:r w:rsidRPr="00E24506" w:rsidR="00C75121">
        <w:rPr>
          <w:sz w:val="24"/>
          <w:szCs w:val="24"/>
        </w:rPr>
        <w:t xml:space="preserve"> noise and </w:t>
      </w:r>
      <w:r w:rsidRPr="00E24506" w:rsidR="00C75121">
        <w:rPr>
          <w:sz w:val="24"/>
          <w:szCs w:val="24"/>
        </w:rPr>
        <w:t>children’s</w:t>
      </w:r>
      <w:r w:rsidRPr="00E24506" w:rsidR="00C75121">
        <w:rPr>
          <w:sz w:val="24"/>
          <w:szCs w:val="24"/>
        </w:rPr>
        <w:t xml:space="preserve"> cognitive and </w:t>
      </w:r>
      <w:r w:rsidRPr="00E24506" w:rsidR="00C75121">
        <w:rPr>
          <w:sz w:val="24"/>
          <w:szCs w:val="24"/>
        </w:rPr>
        <w:t>behavioral</w:t>
      </w:r>
      <w:r w:rsidRPr="00E24506" w:rsidR="00C75121">
        <w:rPr>
          <w:sz w:val="24"/>
          <w:szCs w:val="24"/>
        </w:rPr>
        <w:t xml:space="preserve"> </w:t>
      </w:r>
      <w:r w:rsidRPr="00E24506" w:rsidR="00C75121">
        <w:rPr>
          <w:sz w:val="24"/>
          <w:szCs w:val="24"/>
        </w:rPr>
        <w:t>development</w:t>
      </w:r>
      <w:r w:rsidRPr="00E24506" w:rsidR="00C75121">
        <w:rPr>
          <w:sz w:val="24"/>
          <w:szCs w:val="24"/>
        </w:rPr>
        <w:t xml:space="preserve">: A prospective </w:t>
      </w:r>
      <w:r w:rsidRPr="00E24506" w:rsidR="00C75121">
        <w:rPr>
          <w:sz w:val="24"/>
          <w:szCs w:val="24"/>
        </w:rPr>
        <w:t>cohort</w:t>
      </w:r>
      <w:r w:rsidRPr="00E24506" w:rsidR="00C75121">
        <w:rPr>
          <w:sz w:val="24"/>
          <w:szCs w:val="24"/>
        </w:rPr>
        <w:t xml:space="preserve"> </w:t>
      </w:r>
      <w:r w:rsidRPr="00E24506" w:rsidR="00C75121">
        <w:rPr>
          <w:sz w:val="24"/>
          <w:szCs w:val="24"/>
        </w:rPr>
        <w:t>study</w:t>
      </w:r>
      <w:r w:rsidRPr="00C75121" w:rsidR="00C75121">
        <w:rPr>
          <w:sz w:val="24"/>
          <w:szCs w:val="24"/>
        </w:rPr>
        <w:t>»</w:t>
      </w:r>
      <w:r w:rsidRPr="00E24506" w:rsidR="00C75121">
        <w:rPr>
          <w:sz w:val="24"/>
          <w:szCs w:val="24"/>
        </w:rPr>
        <w:t xml:space="preserve">, </w:t>
      </w:r>
      <w:r w:rsidRPr="00E24506" w:rsidR="00C75121">
        <w:rPr>
          <w:sz w:val="24"/>
          <w:szCs w:val="24"/>
        </w:rPr>
        <w:t>Environment</w:t>
      </w:r>
      <w:r w:rsidRPr="00E24506" w:rsidR="00C75121">
        <w:rPr>
          <w:sz w:val="24"/>
          <w:szCs w:val="24"/>
        </w:rPr>
        <w:t xml:space="preserve"> International, 158 (2022): 106961, </w:t>
      </w:r>
      <w:hyperlink r:id="rId26" w:history="1">
        <w:r w:rsidRPr="00E24506" w:rsidR="00C75121">
          <w:rPr>
            <w:rStyle w:val="Hyperlink"/>
            <w:sz w:val="24"/>
            <w:szCs w:val="24"/>
          </w:rPr>
          <w:t>https://doi.org/10.1016/j.envint.2021.106961</w:t>
        </w:r>
      </w:hyperlink>
      <w:r w:rsidR="00C75121">
        <w:rPr>
          <w:sz w:val="24"/>
          <w:szCs w:val="24"/>
        </w:rPr>
        <w:t>.</w:t>
      </w:r>
    </w:p>
  </w:footnote>
  <w:footnote w:id="35">
    <w:p w:rsidR="009D2B59" w:rsidRPr="00C75121" w:rsidP="00A110D9" w14:paraId="3819A1C1" w14:textId="3C8AB528">
      <w:pPr>
        <w:pStyle w:val="FootnoteText"/>
        <w:ind w:left="567" w:hanging="567"/>
        <w:rPr>
          <w:sz w:val="24"/>
          <w:szCs w:val="24"/>
        </w:rPr>
      </w:pPr>
      <w:r w:rsidRPr="00C75121">
        <w:rPr>
          <w:rStyle w:val="FootnoteReference"/>
          <w:sz w:val="24"/>
          <w:szCs w:val="24"/>
        </w:rPr>
        <w:footnoteRef/>
      </w:r>
      <w:r w:rsidRPr="00C75121" w:rsidR="00A110D9">
        <w:rPr>
          <w:sz w:val="24"/>
          <w:szCs w:val="24"/>
        </w:rPr>
        <w:t xml:space="preserve"> </w:t>
      </w:r>
      <w:r w:rsidRPr="00C75121" w:rsidR="00A110D9">
        <w:rPr>
          <w:sz w:val="24"/>
          <w:szCs w:val="24"/>
        </w:rPr>
        <w:tab/>
      </w:r>
      <w:r w:rsidRPr="00C75121">
        <w:rPr>
          <w:sz w:val="24"/>
          <w:szCs w:val="24"/>
        </w:rPr>
        <w:t xml:space="preserve">Organisation mondiale de la santé (OMS), Lignes directrices sur l’activité physique et la sédentarité, </w:t>
      </w:r>
      <w:hyperlink r:id="rId27" w:history="1">
        <w:r w:rsidRPr="00C75121">
          <w:rPr>
            <w:rStyle w:val="Hyperlink"/>
            <w:sz w:val="24"/>
            <w:szCs w:val="24"/>
          </w:rPr>
          <w:t>https://www.who.int/europe/fr/publications/i/item/9789240014886</w:t>
        </w:r>
      </w:hyperlink>
      <w:r w:rsidRPr="00C75121">
        <w:rPr>
          <w:sz w:val="24"/>
          <w:szCs w:val="24"/>
        </w:rPr>
        <w:t>.</w:t>
      </w:r>
    </w:p>
  </w:footnote>
  <w:footnote w:id="36">
    <w:p w:rsidR="009D2B59" w:rsidRPr="00C75121" w:rsidP="00A110D9" w14:paraId="4A5F3098" w14:textId="35FA60CD">
      <w:pPr>
        <w:pStyle w:val="FootnoteText"/>
        <w:ind w:left="567" w:hanging="567"/>
        <w:rPr>
          <w:sz w:val="24"/>
          <w:szCs w:val="24"/>
        </w:rPr>
      </w:pPr>
      <w:r w:rsidRPr="00C75121">
        <w:rPr>
          <w:rStyle w:val="FootnoteReference"/>
          <w:sz w:val="24"/>
          <w:szCs w:val="24"/>
        </w:rPr>
        <w:footnoteRef/>
      </w:r>
      <w:r w:rsidRPr="00C75121" w:rsidR="00A110D9">
        <w:rPr>
          <w:sz w:val="24"/>
          <w:szCs w:val="24"/>
        </w:rPr>
        <w:t xml:space="preserve"> </w:t>
      </w:r>
      <w:r w:rsidRPr="00C75121" w:rsidR="00A110D9">
        <w:rPr>
          <w:sz w:val="24"/>
          <w:szCs w:val="24"/>
        </w:rPr>
        <w:tab/>
      </w:r>
      <w:hyperlink r:id="rId28" w:history="1">
        <w:r w:rsidRPr="00C75121">
          <w:rPr>
            <w:rStyle w:val="Hyperlink"/>
            <w:sz w:val="24"/>
            <w:szCs w:val="24"/>
          </w:rPr>
          <w:t>https://www.who.int/europe/news/item/07-05-2018-fostering-healthier-and-more-sustainable-diets-learning-from-the-mediterranean-and-new-nordic-experience</w:t>
        </w:r>
      </w:hyperlink>
      <w:r w:rsidRPr="00C75121">
        <w:rPr>
          <w:sz w:val="24"/>
          <w:szCs w:val="24"/>
        </w:rPr>
        <w:t>.</w:t>
      </w:r>
    </w:p>
  </w:footnote>
  <w:footnote w:id="37">
    <w:p w:rsidR="009D2B59" w:rsidRPr="00C75121" w:rsidP="00A110D9" w14:paraId="40D81BFF" w14:textId="49AFB406">
      <w:pPr>
        <w:pStyle w:val="FootnoteText"/>
        <w:ind w:left="567" w:hanging="567"/>
        <w:rPr>
          <w:sz w:val="24"/>
          <w:szCs w:val="24"/>
        </w:rPr>
      </w:pPr>
      <w:r w:rsidRPr="00C75121">
        <w:rPr>
          <w:rStyle w:val="FootnoteReference"/>
          <w:sz w:val="24"/>
          <w:szCs w:val="24"/>
        </w:rPr>
        <w:footnoteRef/>
      </w:r>
      <w:r w:rsidRPr="00C75121" w:rsidR="00A110D9">
        <w:rPr>
          <w:sz w:val="24"/>
          <w:szCs w:val="24"/>
        </w:rPr>
        <w:t xml:space="preserve"> </w:t>
      </w:r>
      <w:r w:rsidRPr="00C75121" w:rsidR="00A110D9">
        <w:rPr>
          <w:sz w:val="24"/>
          <w:szCs w:val="24"/>
        </w:rPr>
        <w:tab/>
      </w:r>
      <w:hyperlink r:id="rId29" w:history="1">
        <w:r w:rsidRPr="00C75121">
          <w:rPr>
            <w:rStyle w:val="Hyperlink"/>
            <w:sz w:val="24"/>
            <w:szCs w:val="24"/>
          </w:rPr>
          <w:t>https://www.thieme-connect.com/products/ejournals/abstract/10.1055/a-2747-5734?id=&amp;lang=en</w:t>
        </w:r>
      </w:hyperlink>
      <w:r w:rsidRPr="00C75121">
        <w:rPr>
          <w:sz w:val="24"/>
          <w:szCs w:val="24"/>
        </w:rPr>
        <w:t>.</w:t>
      </w:r>
    </w:p>
  </w:footnote>
  <w:footnote w:id="38">
    <w:p w:rsidR="009D2B59" w:rsidRPr="00C75121" w:rsidP="00A110D9" w14:paraId="3DB6EB3D" w14:textId="5667DC61">
      <w:pPr>
        <w:pStyle w:val="FootnoteText"/>
        <w:ind w:left="567" w:hanging="567"/>
        <w:rPr>
          <w:sz w:val="24"/>
          <w:szCs w:val="24"/>
        </w:rPr>
      </w:pPr>
      <w:r w:rsidRPr="00C75121">
        <w:rPr>
          <w:rStyle w:val="FootnoteReference"/>
          <w:sz w:val="24"/>
          <w:szCs w:val="24"/>
        </w:rPr>
        <w:footnoteRef/>
      </w:r>
      <w:r w:rsidRPr="00C75121" w:rsidR="00A110D9">
        <w:rPr>
          <w:sz w:val="24"/>
          <w:szCs w:val="24"/>
        </w:rPr>
        <w:t xml:space="preserve"> </w:t>
      </w:r>
      <w:r w:rsidRPr="00C75121" w:rsidR="00A110D9">
        <w:rPr>
          <w:sz w:val="24"/>
          <w:szCs w:val="24"/>
        </w:rPr>
        <w:tab/>
      </w:r>
      <w:hyperlink r:id="rId30" w:history="1">
        <w:r w:rsidRPr="00C75121">
          <w:rPr>
            <w:rStyle w:val="Hyperlink"/>
            <w:sz w:val="24"/>
            <w:szCs w:val="24"/>
          </w:rPr>
          <w:t>https://ec.europa.eu/eurostat/statistics-explained/index.php?title=Nutritional_habits_statistics</w:t>
        </w:r>
      </w:hyperlink>
      <w:r w:rsidRPr="00C75121">
        <w:rPr>
          <w:sz w:val="24"/>
          <w:szCs w:val="24"/>
        </w:rPr>
        <w:t>.</w:t>
      </w:r>
    </w:p>
  </w:footnote>
  <w:footnote w:id="39">
    <w:p w:rsidR="009D2B59" w:rsidRPr="00E24506" w:rsidP="00A110D9" w14:paraId="2D6B68B0" w14:textId="5EB959BA">
      <w:pPr>
        <w:pStyle w:val="FootnoteText"/>
        <w:ind w:left="567" w:hanging="567"/>
        <w:rPr>
          <w:sz w:val="24"/>
          <w:szCs w:val="24"/>
          <w:lang w:val="it-IT"/>
        </w:rPr>
      </w:pPr>
      <w:r w:rsidRPr="00C75121">
        <w:rPr>
          <w:rStyle w:val="FootnoteReference"/>
          <w:sz w:val="24"/>
          <w:szCs w:val="24"/>
        </w:rPr>
        <w:footnoteRef/>
      </w:r>
      <w:r w:rsidRPr="00E24506" w:rsidR="00A110D9">
        <w:rPr>
          <w:sz w:val="24"/>
          <w:szCs w:val="24"/>
          <w:lang w:val="en-GB"/>
        </w:rPr>
        <w:t xml:space="preserve"> </w:t>
      </w:r>
      <w:r w:rsidRPr="00E24506" w:rsidR="00A110D9">
        <w:rPr>
          <w:sz w:val="24"/>
          <w:szCs w:val="24"/>
          <w:lang w:val="en-GB"/>
        </w:rPr>
        <w:tab/>
      </w:r>
      <w:r w:rsidRPr="00E24506">
        <w:rPr>
          <w:sz w:val="24"/>
          <w:szCs w:val="24"/>
          <w:lang w:val="en-GB"/>
        </w:rPr>
        <w:t xml:space="preserve">SAPEA, Science Advice for Policy by European Academies. </w:t>
      </w:r>
      <w:r w:rsidRPr="00C75121">
        <w:rPr>
          <w:sz w:val="24"/>
          <w:szCs w:val="24"/>
        </w:rPr>
        <w:t xml:space="preserve">(2023). </w:t>
      </w:r>
      <w:r w:rsidRPr="00C75121">
        <w:rPr>
          <w:sz w:val="24"/>
          <w:szCs w:val="24"/>
        </w:rPr>
        <w:t>«</w:t>
      </w:r>
      <w:r w:rsidRPr="00C75121">
        <w:rPr>
          <w:sz w:val="24"/>
          <w:szCs w:val="24"/>
        </w:rPr>
        <w:t>Towards</w:t>
      </w:r>
      <w:r w:rsidRPr="00C75121">
        <w:rPr>
          <w:sz w:val="24"/>
          <w:szCs w:val="24"/>
        </w:rPr>
        <w:t xml:space="preserve"> </w:t>
      </w:r>
      <w:r w:rsidRPr="00C75121">
        <w:rPr>
          <w:sz w:val="24"/>
          <w:szCs w:val="24"/>
        </w:rPr>
        <w:t>sustainable</w:t>
      </w:r>
      <w:r w:rsidRPr="00C75121">
        <w:rPr>
          <w:sz w:val="24"/>
          <w:szCs w:val="24"/>
        </w:rPr>
        <w:t xml:space="preserve"> </w:t>
      </w:r>
      <w:r w:rsidRPr="00C75121">
        <w:rPr>
          <w:sz w:val="24"/>
          <w:szCs w:val="24"/>
        </w:rPr>
        <w:t>food</w:t>
      </w:r>
      <w:r w:rsidRPr="00C75121">
        <w:rPr>
          <w:sz w:val="24"/>
          <w:szCs w:val="24"/>
        </w:rPr>
        <w:t xml:space="preserve"> </w:t>
      </w:r>
      <w:r w:rsidRPr="00C75121">
        <w:rPr>
          <w:sz w:val="24"/>
          <w:szCs w:val="24"/>
        </w:rPr>
        <w:t>consumption</w:t>
      </w:r>
      <w:r w:rsidRPr="00C75121">
        <w:rPr>
          <w:sz w:val="24"/>
          <w:szCs w:val="24"/>
        </w:rPr>
        <w:t xml:space="preserve">» (Vers une consommation alimentaire durable). </w:t>
      </w:r>
      <w:r w:rsidRPr="00E24506">
        <w:rPr>
          <w:sz w:val="24"/>
          <w:szCs w:val="24"/>
          <w:lang w:val="it-IT"/>
        </w:rPr>
        <w:t>Berlin</w:t>
      </w:r>
      <w:r w:rsidRPr="00E24506">
        <w:rPr>
          <w:sz w:val="24"/>
          <w:szCs w:val="24"/>
          <w:lang w:val="it-IT"/>
        </w:rPr>
        <w:t xml:space="preserve">: SAPEA. </w:t>
      </w:r>
      <w:r w:rsidRPr="00E24506">
        <w:rPr>
          <w:sz w:val="24"/>
          <w:szCs w:val="24"/>
          <w:lang w:val="it-IT"/>
        </w:rPr>
        <w:t>doi:10.5281</w:t>
      </w:r>
      <w:r w:rsidRPr="00E24506">
        <w:rPr>
          <w:sz w:val="24"/>
          <w:szCs w:val="24"/>
          <w:lang w:val="it-IT"/>
        </w:rPr>
        <w:t xml:space="preserve">/zenodo.8031939 </w:t>
      </w:r>
      <w:hyperlink r:id="rId31" w:history="1">
        <w:r w:rsidRPr="00E24506" w:rsidR="00C75121">
          <w:rPr>
            <w:rStyle w:val="Hyperlink"/>
            <w:sz w:val="24"/>
            <w:szCs w:val="24"/>
            <w:lang w:val="it-IT"/>
          </w:rPr>
          <w:t>https://scientificadvice.eu/scientific-outputs/towards-sustainable-food-consumption-evidence-review-report/</w:t>
        </w:r>
      </w:hyperlink>
      <w:r w:rsidRPr="00E24506" w:rsidR="00C75121">
        <w:rPr>
          <w:sz w:val="24"/>
          <w:szCs w:val="24"/>
          <w:lang w:val="it-IT"/>
        </w:rPr>
        <w:t>.</w:t>
      </w:r>
    </w:p>
  </w:footnote>
  <w:footnote w:id="40">
    <w:p w:rsidR="009D2B59" w:rsidRPr="00C75121" w:rsidP="00A110D9" w14:paraId="0C9C0680" w14:textId="37810766">
      <w:pPr>
        <w:pStyle w:val="FootnoteText"/>
        <w:ind w:left="567" w:hanging="567"/>
        <w:rPr>
          <w:sz w:val="24"/>
          <w:szCs w:val="24"/>
        </w:rPr>
      </w:pPr>
      <w:r w:rsidRPr="00C75121">
        <w:rPr>
          <w:rStyle w:val="FootnoteReference"/>
          <w:sz w:val="24"/>
          <w:szCs w:val="24"/>
        </w:rPr>
        <w:footnoteRef/>
      </w:r>
      <w:r w:rsidRPr="00C75121" w:rsidR="00A110D9">
        <w:rPr>
          <w:sz w:val="24"/>
          <w:szCs w:val="24"/>
        </w:rPr>
        <w:t xml:space="preserve"> </w:t>
      </w:r>
      <w:r w:rsidRPr="00C75121" w:rsidR="00A110D9">
        <w:rPr>
          <w:sz w:val="24"/>
          <w:szCs w:val="24"/>
        </w:rPr>
        <w:tab/>
      </w:r>
      <w:r w:rsidRPr="00C75121">
        <w:rPr>
          <w:sz w:val="24"/>
          <w:szCs w:val="24"/>
        </w:rPr>
        <w:t>Directive 2010/13/UE du Parlement européen et du Conseil du 10 mars 2010 visant à la coordination de certaines dispositions législatives, réglementaires et administratives des États membres relatives à la fourniture de services de médias audiovisuels (directive «Services de médias audiovisuels») (JO L 95 du 15.4.2010, p. 1, ELI: </w:t>
      </w:r>
      <w:hyperlink r:id="rId32" w:tooltip="Permet d'accéder à ce document par l'intermédiaire de son URI ELI." w:history="1">
        <w:r w:rsidRPr="00C75121">
          <w:rPr>
            <w:rStyle w:val="Hyperlink"/>
            <w:sz w:val="24"/>
            <w:szCs w:val="24"/>
          </w:rPr>
          <w:t>http://data.europa.eu/eli/dir/2010/13/oj</w:t>
        </w:r>
      </w:hyperlink>
      <w:r w:rsidRPr="00C75121">
        <w:rPr>
          <w:sz w:val="24"/>
          <w:szCs w:val="24"/>
        </w:rPr>
        <w:t>).</w:t>
      </w:r>
    </w:p>
  </w:footnote>
  <w:footnote w:id="41">
    <w:p w:rsidR="009D2B59" w:rsidRPr="00C75121" w:rsidP="00A110D9" w14:paraId="58B218D1" w14:textId="2DC26056">
      <w:pPr>
        <w:pStyle w:val="FootnoteText"/>
        <w:ind w:left="567" w:hanging="567"/>
        <w:rPr>
          <w:sz w:val="24"/>
          <w:szCs w:val="24"/>
        </w:rPr>
      </w:pPr>
      <w:r w:rsidRPr="00C75121">
        <w:rPr>
          <w:rStyle w:val="FootnoteReference"/>
          <w:sz w:val="24"/>
          <w:szCs w:val="24"/>
        </w:rPr>
        <w:footnoteRef/>
      </w:r>
      <w:r w:rsidRPr="00C75121" w:rsidR="00A110D9">
        <w:rPr>
          <w:sz w:val="24"/>
          <w:szCs w:val="24"/>
        </w:rPr>
        <w:t xml:space="preserve"> </w:t>
      </w:r>
      <w:r w:rsidRPr="00C75121" w:rsidR="00A110D9">
        <w:rPr>
          <w:sz w:val="24"/>
          <w:szCs w:val="24"/>
        </w:rPr>
        <w:tab/>
      </w:r>
      <w:r w:rsidRPr="00C75121">
        <w:rPr>
          <w:sz w:val="24"/>
          <w:szCs w:val="24"/>
        </w:rPr>
        <w:t>Directive 2005/29/CE du Parlement européen et du Conseil du 11 mai 2005 relative aux pratiques commerciales déloyales des entreprises vis-à-vis des consommateurs dans le marché intérieur et modifiant la directive 84/450/CEE du Conseil et les directives 97/7/CE, 98/27/CE et 2002/65/CE du Parlement européen et du Conseil et le règlement (CE) n° 2006/2004 du Parlement européen et du Conseil (directive sur les pratiques commerciales déloyales) (JO L 149 du 11.6.2005, p. 22, ELI: </w:t>
      </w:r>
      <w:hyperlink r:id="rId4" w:tooltip="Permet d’accéder à ce document via son URI ELI." w:history="1">
        <w:r w:rsidRPr="00C75121">
          <w:rPr>
            <w:rStyle w:val="Hyperlink"/>
            <w:sz w:val="24"/>
            <w:szCs w:val="24"/>
          </w:rPr>
          <w:t>http://data.europa.eu/eli/dir/2005/29/oj</w:t>
        </w:r>
      </w:hyperlink>
      <w:r w:rsidRPr="00C75121">
        <w:rPr>
          <w:sz w:val="24"/>
          <w:szCs w:val="24"/>
        </w:rPr>
        <w:t>).</w:t>
      </w:r>
    </w:p>
  </w:footnote>
  <w:footnote w:id="42">
    <w:p w:rsidR="009D2B59" w:rsidRPr="00C75121" w:rsidP="00A110D9" w14:paraId="436EEC3B" w14:textId="4FD32FE4">
      <w:pPr>
        <w:pStyle w:val="FootnoteText"/>
        <w:ind w:left="567" w:hanging="567"/>
        <w:rPr>
          <w:sz w:val="24"/>
          <w:szCs w:val="24"/>
        </w:rPr>
      </w:pPr>
      <w:r w:rsidRPr="00C75121">
        <w:rPr>
          <w:rStyle w:val="FootnoteReference"/>
          <w:sz w:val="24"/>
          <w:szCs w:val="24"/>
        </w:rPr>
        <w:footnoteRef/>
      </w:r>
      <w:r w:rsidRPr="00C75121" w:rsidR="00A110D9">
        <w:rPr>
          <w:sz w:val="24"/>
          <w:szCs w:val="24"/>
        </w:rPr>
        <w:t xml:space="preserve"> </w:t>
      </w:r>
      <w:r w:rsidRPr="00C75121" w:rsidR="00A110D9">
        <w:rPr>
          <w:sz w:val="24"/>
          <w:szCs w:val="24"/>
        </w:rPr>
        <w:tab/>
      </w:r>
      <w:r w:rsidRPr="00C75121">
        <w:rPr>
          <w:sz w:val="24"/>
          <w:szCs w:val="24"/>
        </w:rPr>
        <w:t xml:space="preserve">Directive 2003/33/CE du Parlement européen et du Conseil du 26 mai 2003 concernant le rapprochement des dispositions législatives, réglementaires et administratives des États membres en matière de publicité et de parrainage en faveur des produits du tabac, JO L 152 du 20.6.2003, p. 16, </w:t>
      </w:r>
      <w:r w:rsidRPr="00C75121">
        <w:rPr>
          <w:sz w:val="24"/>
          <w:szCs w:val="24"/>
        </w:rPr>
        <w:t>ELI:</w:t>
      </w:r>
      <w:r w:rsidRPr="00C75121">
        <w:rPr>
          <w:sz w:val="24"/>
          <w:szCs w:val="24"/>
        </w:rPr>
        <w:t> </w:t>
      </w:r>
      <w:hyperlink r:id="rId33" w:tooltip="Permet d'accéder à ce document par l'intermédiaire de son URI ELI." w:history="1">
        <w:r w:rsidRPr="00C75121">
          <w:rPr>
            <w:rStyle w:val="Hyperlink"/>
            <w:sz w:val="24"/>
            <w:szCs w:val="24"/>
          </w:rPr>
          <w:t>http://data.europa.eu/eli/dir/2003/33/oj</w:t>
        </w:r>
      </w:hyperlink>
      <w:r w:rsidRPr="00C75121">
        <w:rPr>
          <w:sz w:val="24"/>
          <w:szCs w:val="24"/>
        </w:rPr>
        <w:t>).</w:t>
      </w:r>
    </w:p>
  </w:footnote>
  <w:footnote w:id="43">
    <w:p w:rsidR="009D2B59" w:rsidRPr="00C75121" w:rsidP="00A110D9" w14:paraId="11697944" w14:textId="20526A65">
      <w:pPr>
        <w:pStyle w:val="FootnoteText"/>
        <w:ind w:left="567" w:hanging="567"/>
        <w:rPr>
          <w:sz w:val="24"/>
          <w:szCs w:val="24"/>
        </w:rPr>
      </w:pPr>
      <w:r w:rsidRPr="00C75121">
        <w:rPr>
          <w:rStyle w:val="FootnoteReference"/>
          <w:sz w:val="24"/>
          <w:szCs w:val="24"/>
        </w:rPr>
        <w:footnoteRef/>
      </w:r>
      <w:r w:rsidRPr="00C75121" w:rsidR="00A110D9">
        <w:rPr>
          <w:sz w:val="24"/>
          <w:szCs w:val="24"/>
        </w:rPr>
        <w:t xml:space="preserve"> </w:t>
      </w:r>
      <w:r w:rsidRPr="00C75121" w:rsidR="00A110D9">
        <w:rPr>
          <w:sz w:val="24"/>
          <w:szCs w:val="24"/>
        </w:rPr>
        <w:tab/>
      </w:r>
      <w:r w:rsidRPr="00C75121">
        <w:rPr>
          <w:sz w:val="24"/>
          <w:szCs w:val="24"/>
        </w:rPr>
        <w:t xml:space="preserve">Directive 92/83/CEE du Conseil du 19 octobre 1992 concernant l’harmonisation des structures des droits d’accises sur l’alcool et les boissons alcooliques (JO L 316 du 31.10.1992, p. 21, </w:t>
      </w:r>
      <w:r w:rsidRPr="00C75121">
        <w:rPr>
          <w:sz w:val="24"/>
          <w:szCs w:val="24"/>
        </w:rPr>
        <w:t>ELI:</w:t>
      </w:r>
      <w:r w:rsidRPr="00C75121">
        <w:rPr>
          <w:sz w:val="24"/>
          <w:szCs w:val="24"/>
        </w:rPr>
        <w:t> </w:t>
      </w:r>
      <w:hyperlink r:id="rId34" w:tooltip="Permet d'accéder à ce document par l'intermédiaire de son URI ELI." w:history="1">
        <w:r w:rsidRPr="00C75121">
          <w:rPr>
            <w:rStyle w:val="Hyperlink"/>
            <w:sz w:val="24"/>
            <w:szCs w:val="24"/>
          </w:rPr>
          <w:t>http://data.europa.eu/eli/dir/1992/83/oj</w:t>
        </w:r>
      </w:hyperlink>
      <w:r w:rsidRPr="00C75121">
        <w:rPr>
          <w:sz w:val="24"/>
          <w:szCs w:val="24"/>
        </w:rPr>
        <w:t>).</w:t>
      </w:r>
    </w:p>
  </w:footnote>
  <w:footnote w:id="44">
    <w:p w:rsidR="009D2B59" w:rsidRPr="00C75121" w:rsidP="00A110D9" w14:paraId="165DD36A" w14:textId="674C9FE0">
      <w:pPr>
        <w:pStyle w:val="FootnoteText"/>
        <w:ind w:left="567" w:hanging="567"/>
        <w:rPr>
          <w:sz w:val="24"/>
          <w:szCs w:val="24"/>
        </w:rPr>
      </w:pPr>
      <w:r w:rsidRPr="00C75121">
        <w:rPr>
          <w:rStyle w:val="FootnoteReference"/>
          <w:sz w:val="24"/>
          <w:szCs w:val="24"/>
        </w:rPr>
        <w:footnoteRef/>
      </w:r>
      <w:r w:rsidRPr="00C75121" w:rsidR="00A110D9">
        <w:rPr>
          <w:sz w:val="24"/>
          <w:szCs w:val="24"/>
        </w:rPr>
        <w:t xml:space="preserve"> </w:t>
      </w:r>
      <w:r w:rsidRPr="00C75121" w:rsidR="00A110D9">
        <w:rPr>
          <w:sz w:val="24"/>
          <w:szCs w:val="24"/>
        </w:rPr>
        <w:tab/>
      </w:r>
      <w:r w:rsidRPr="00C75121">
        <w:rPr>
          <w:sz w:val="24"/>
          <w:szCs w:val="24"/>
        </w:rPr>
        <w:t xml:space="preserve">Règlement (UE) 2022/2065 du Parlement européen et du Conseil du 19 octobre 2022 relatif à un marché unique des services numériques et modifiant la directive 2000/31/CE (règlement sur les services numériques) (JO L 277 du 27.10.2022, p. 1, </w:t>
      </w:r>
      <w:r w:rsidRPr="00C75121">
        <w:rPr>
          <w:sz w:val="24"/>
          <w:szCs w:val="24"/>
        </w:rPr>
        <w:t>ELI:</w:t>
      </w:r>
      <w:r w:rsidRPr="00C75121">
        <w:rPr>
          <w:sz w:val="24"/>
          <w:szCs w:val="24"/>
        </w:rPr>
        <w:t xml:space="preserve"> </w:t>
      </w:r>
      <w:hyperlink r:id="rId35" w:history="1">
        <w:r w:rsidRPr="00C75121">
          <w:rPr>
            <w:rStyle w:val="Hyperlink"/>
            <w:sz w:val="24"/>
            <w:szCs w:val="24"/>
          </w:rPr>
          <w:t>http://data.europa.eu/eli/reg/2022/2065/oj</w:t>
        </w:r>
      </w:hyperlink>
      <w:r w:rsidRPr="00C75121">
        <w:rPr>
          <w:sz w:val="24"/>
          <w:szCs w:val="24"/>
        </w:rPr>
        <w:t>).</w:t>
      </w:r>
    </w:p>
  </w:footnote>
  <w:footnote w:id="45">
    <w:p w:rsidR="009D2B59" w:rsidRPr="00C75121" w:rsidP="00A110D9" w14:paraId="28843558" w14:textId="2D9BF76E">
      <w:pPr>
        <w:pStyle w:val="FootnoteText"/>
        <w:ind w:left="567" w:hanging="567"/>
        <w:rPr>
          <w:sz w:val="24"/>
          <w:szCs w:val="24"/>
        </w:rPr>
      </w:pPr>
      <w:r w:rsidRPr="00C75121">
        <w:rPr>
          <w:rStyle w:val="FootnoteReference"/>
          <w:sz w:val="24"/>
          <w:szCs w:val="24"/>
        </w:rPr>
        <w:footnoteRef/>
      </w:r>
      <w:r w:rsidRPr="00C75121" w:rsidR="00A110D9">
        <w:rPr>
          <w:sz w:val="24"/>
          <w:szCs w:val="24"/>
        </w:rPr>
        <w:t xml:space="preserve"> </w:t>
      </w:r>
      <w:r w:rsidRPr="00C75121" w:rsidR="00A110D9">
        <w:rPr>
          <w:sz w:val="24"/>
          <w:szCs w:val="24"/>
        </w:rPr>
        <w:tab/>
      </w:r>
      <w:r w:rsidRPr="00C75121">
        <w:rPr>
          <w:sz w:val="24"/>
          <w:szCs w:val="24"/>
        </w:rPr>
        <w:t>OMS, «</w:t>
      </w:r>
      <w:r w:rsidRPr="00C75121">
        <w:rPr>
          <w:sz w:val="24"/>
          <w:szCs w:val="24"/>
        </w:rPr>
        <w:t>Fostering</w:t>
      </w:r>
      <w:r w:rsidRPr="00C75121">
        <w:rPr>
          <w:sz w:val="24"/>
          <w:szCs w:val="24"/>
        </w:rPr>
        <w:t xml:space="preserve"> </w:t>
      </w:r>
      <w:r w:rsidRPr="00C75121">
        <w:rPr>
          <w:sz w:val="24"/>
          <w:szCs w:val="24"/>
        </w:rPr>
        <w:t>healthier</w:t>
      </w:r>
      <w:r w:rsidRPr="00C75121">
        <w:rPr>
          <w:sz w:val="24"/>
          <w:szCs w:val="24"/>
        </w:rPr>
        <w:t xml:space="preserve"> and more </w:t>
      </w:r>
      <w:r w:rsidRPr="00C75121">
        <w:rPr>
          <w:sz w:val="24"/>
          <w:szCs w:val="24"/>
        </w:rPr>
        <w:t>sustainable</w:t>
      </w:r>
      <w:r w:rsidRPr="00C75121">
        <w:rPr>
          <w:sz w:val="24"/>
          <w:szCs w:val="24"/>
        </w:rPr>
        <w:t xml:space="preserve"> </w:t>
      </w:r>
      <w:r w:rsidRPr="00C75121">
        <w:rPr>
          <w:sz w:val="24"/>
          <w:szCs w:val="24"/>
        </w:rPr>
        <w:t>diets</w:t>
      </w:r>
      <w:r w:rsidRPr="00C75121">
        <w:rPr>
          <w:sz w:val="24"/>
          <w:szCs w:val="24"/>
        </w:rPr>
        <w:t xml:space="preserve"> — </w:t>
      </w:r>
      <w:r w:rsidRPr="00C75121">
        <w:rPr>
          <w:sz w:val="24"/>
          <w:szCs w:val="24"/>
        </w:rPr>
        <w:t>learning</w:t>
      </w:r>
      <w:r w:rsidRPr="00C75121">
        <w:rPr>
          <w:sz w:val="24"/>
          <w:szCs w:val="24"/>
        </w:rPr>
        <w:t xml:space="preserve"> </w:t>
      </w:r>
      <w:r w:rsidRPr="00C75121">
        <w:rPr>
          <w:sz w:val="24"/>
          <w:szCs w:val="24"/>
        </w:rPr>
        <w:t>from</w:t>
      </w:r>
      <w:r w:rsidRPr="00C75121">
        <w:rPr>
          <w:sz w:val="24"/>
          <w:szCs w:val="24"/>
        </w:rPr>
        <w:t xml:space="preserve"> the </w:t>
      </w:r>
      <w:r w:rsidRPr="00C75121">
        <w:rPr>
          <w:sz w:val="24"/>
          <w:szCs w:val="24"/>
        </w:rPr>
        <w:t>Mediterranean</w:t>
      </w:r>
      <w:r w:rsidRPr="00C75121">
        <w:rPr>
          <w:sz w:val="24"/>
          <w:szCs w:val="24"/>
        </w:rPr>
        <w:t xml:space="preserve"> and New Nordic </w:t>
      </w:r>
      <w:r w:rsidRPr="00C75121">
        <w:rPr>
          <w:sz w:val="24"/>
          <w:szCs w:val="24"/>
        </w:rPr>
        <w:t>experience</w:t>
      </w:r>
      <w:r w:rsidRPr="00C75121">
        <w:rPr>
          <w:sz w:val="24"/>
          <w:szCs w:val="24"/>
        </w:rPr>
        <w:t xml:space="preserve">» (Promouvoir des régimes alimentaires plus sains et plus durables — tirer les enseignements de l’expérience méditerranéenne et de la nouvelle expérience nordique), 2018, </w:t>
      </w:r>
      <w:hyperlink r:id="rId28" w:history="1">
        <w:r w:rsidRPr="00C75121">
          <w:rPr>
            <w:rStyle w:val="Hyperlink"/>
            <w:sz w:val="24"/>
            <w:szCs w:val="24"/>
          </w:rPr>
          <w:t>https://www.who.int/europe/news/item/07-05-2018-fostering-healthier-and-more-sustainable-diets-learning-from-the-mediterranean-and-new-nordic-experience</w:t>
        </w:r>
      </w:hyperlink>
      <w:r w:rsidRPr="00C75121">
        <w:rPr>
          <w:sz w:val="24"/>
          <w:szCs w:val="24"/>
        </w:rPr>
        <w:t xml:space="preserve">. </w:t>
      </w:r>
    </w:p>
  </w:footnote>
  <w:footnote w:id="46">
    <w:p w:rsidR="009D2B59" w:rsidRPr="00C75121" w:rsidP="00A110D9" w14:paraId="72FF2E68" w14:textId="087E9C7C">
      <w:pPr>
        <w:pStyle w:val="FootnoteText"/>
        <w:ind w:left="567" w:hanging="567"/>
        <w:rPr>
          <w:sz w:val="24"/>
          <w:szCs w:val="24"/>
        </w:rPr>
      </w:pPr>
      <w:r w:rsidRPr="00C75121">
        <w:rPr>
          <w:rStyle w:val="FootnoteReference"/>
          <w:sz w:val="24"/>
          <w:szCs w:val="24"/>
        </w:rPr>
        <w:footnoteRef/>
      </w:r>
      <w:r w:rsidRPr="00C75121" w:rsidR="00A110D9">
        <w:rPr>
          <w:sz w:val="24"/>
          <w:szCs w:val="24"/>
        </w:rPr>
        <w:t xml:space="preserve"> </w:t>
      </w:r>
      <w:r w:rsidRPr="00C75121" w:rsidR="00A110D9">
        <w:rPr>
          <w:sz w:val="24"/>
          <w:szCs w:val="24"/>
        </w:rPr>
        <w:tab/>
      </w:r>
      <w:r w:rsidRPr="00C75121">
        <w:rPr>
          <w:sz w:val="24"/>
          <w:szCs w:val="24"/>
        </w:rPr>
        <w:t>Dahm</w:t>
      </w:r>
      <w:r w:rsidRPr="00C75121">
        <w:rPr>
          <w:sz w:val="24"/>
          <w:szCs w:val="24"/>
        </w:rPr>
        <w:t>, J. B., «</w:t>
      </w:r>
      <w:r w:rsidRPr="00C75121">
        <w:rPr>
          <w:sz w:val="24"/>
          <w:szCs w:val="24"/>
        </w:rPr>
        <w:t>Geringere</w:t>
      </w:r>
      <w:r w:rsidRPr="00C75121">
        <w:rPr>
          <w:sz w:val="24"/>
          <w:szCs w:val="24"/>
        </w:rPr>
        <w:t xml:space="preserve"> </w:t>
      </w:r>
      <w:r w:rsidRPr="00C75121">
        <w:rPr>
          <w:sz w:val="24"/>
          <w:szCs w:val="24"/>
        </w:rPr>
        <w:t>Inzidenz</w:t>
      </w:r>
      <w:r w:rsidRPr="00C75121">
        <w:rPr>
          <w:sz w:val="24"/>
          <w:szCs w:val="24"/>
        </w:rPr>
        <w:t xml:space="preserve"> </w:t>
      </w:r>
      <w:r w:rsidRPr="00C75121">
        <w:rPr>
          <w:sz w:val="24"/>
          <w:szCs w:val="24"/>
        </w:rPr>
        <w:t>atherosklerotischer</w:t>
      </w:r>
      <w:r w:rsidRPr="00C75121">
        <w:rPr>
          <w:sz w:val="24"/>
          <w:szCs w:val="24"/>
        </w:rPr>
        <w:t xml:space="preserve"> </w:t>
      </w:r>
      <w:r w:rsidRPr="00C75121">
        <w:rPr>
          <w:sz w:val="24"/>
          <w:szCs w:val="24"/>
        </w:rPr>
        <w:t>Herz-Kreislauf-Erkrankungen</w:t>
      </w:r>
      <w:r w:rsidRPr="00C75121">
        <w:rPr>
          <w:sz w:val="24"/>
          <w:szCs w:val="24"/>
        </w:rPr>
        <w:t xml:space="preserve"> </w:t>
      </w:r>
      <w:r w:rsidRPr="00C75121">
        <w:rPr>
          <w:sz w:val="24"/>
          <w:szCs w:val="24"/>
        </w:rPr>
        <w:t>bei</w:t>
      </w:r>
      <w:r w:rsidRPr="00C75121">
        <w:rPr>
          <w:sz w:val="24"/>
          <w:szCs w:val="24"/>
        </w:rPr>
        <w:t xml:space="preserve"> </w:t>
      </w:r>
      <w:r w:rsidRPr="00C75121">
        <w:rPr>
          <w:sz w:val="24"/>
          <w:szCs w:val="24"/>
        </w:rPr>
        <w:t>Ernährung</w:t>
      </w:r>
      <w:r w:rsidRPr="00C75121">
        <w:rPr>
          <w:sz w:val="24"/>
          <w:szCs w:val="24"/>
        </w:rPr>
        <w:t xml:space="preserve"> mit </w:t>
      </w:r>
      <w:r w:rsidRPr="00C75121">
        <w:rPr>
          <w:sz w:val="24"/>
          <w:szCs w:val="24"/>
        </w:rPr>
        <w:t>Biolebensmitteln</w:t>
      </w:r>
      <w:r w:rsidRPr="00C75121">
        <w:rPr>
          <w:sz w:val="24"/>
          <w:szCs w:val="24"/>
        </w:rPr>
        <w:t xml:space="preserve"> (</w:t>
      </w:r>
      <w:r w:rsidRPr="00C75121">
        <w:rPr>
          <w:sz w:val="24"/>
          <w:szCs w:val="24"/>
        </w:rPr>
        <w:t>Dänische</w:t>
      </w:r>
      <w:r w:rsidRPr="00C75121">
        <w:rPr>
          <w:sz w:val="24"/>
          <w:szCs w:val="24"/>
        </w:rPr>
        <w:t xml:space="preserve"> </w:t>
      </w:r>
      <w:r w:rsidRPr="00C75121">
        <w:rPr>
          <w:sz w:val="24"/>
          <w:szCs w:val="24"/>
        </w:rPr>
        <w:t>Kohortenstudie</w:t>
      </w:r>
      <w:r w:rsidRPr="00C75121">
        <w:rPr>
          <w:sz w:val="24"/>
          <w:szCs w:val="24"/>
        </w:rPr>
        <w:t xml:space="preserve">)» (Diminution de l’incidence des maladies cardio-vasculaires </w:t>
      </w:r>
      <w:r w:rsidRPr="00C75121">
        <w:rPr>
          <w:sz w:val="24"/>
          <w:szCs w:val="24"/>
        </w:rPr>
        <w:t>athéroscléreuses</w:t>
      </w:r>
      <w:r w:rsidRPr="00C75121">
        <w:rPr>
          <w:sz w:val="24"/>
          <w:szCs w:val="24"/>
        </w:rPr>
        <w:t xml:space="preserve"> en cas d’alimentation avec des aliments biologiques (étude de cohorte danoise), 2026, </w:t>
      </w:r>
      <w:hyperlink r:id="rId29" w:history="1">
        <w:r w:rsidRPr="00C75121">
          <w:rPr>
            <w:rStyle w:val="Hyperlink"/>
            <w:sz w:val="24"/>
            <w:szCs w:val="24"/>
          </w:rPr>
          <w:t>https://www.thieme-connect.com/products/ejournals/abstract/10.1055/a-2747-5734?id=&amp;lang=en</w:t>
        </w:r>
      </w:hyperlink>
      <w:r w:rsidRPr="00C75121">
        <w:rPr>
          <w:sz w:val="24"/>
          <w:szCs w:val="24"/>
        </w:rPr>
        <w:t xml:space="preserve">.  </w:t>
      </w:r>
    </w:p>
  </w:footnote>
  <w:footnote w:id="47">
    <w:p w:rsidR="009D2B59" w:rsidRPr="00C75121" w:rsidP="00A110D9" w14:paraId="42A449E3" w14:textId="2246EFEA">
      <w:pPr>
        <w:pStyle w:val="FootnoteText"/>
        <w:ind w:left="567" w:hanging="567"/>
        <w:rPr>
          <w:sz w:val="24"/>
          <w:szCs w:val="24"/>
        </w:rPr>
      </w:pPr>
      <w:r w:rsidRPr="00C75121">
        <w:rPr>
          <w:rStyle w:val="FootnoteReference"/>
          <w:sz w:val="24"/>
          <w:szCs w:val="24"/>
        </w:rPr>
        <w:footnoteRef/>
      </w:r>
      <w:r w:rsidRPr="00C75121" w:rsidR="00A110D9">
        <w:rPr>
          <w:sz w:val="24"/>
          <w:szCs w:val="24"/>
        </w:rPr>
        <w:t xml:space="preserve"> </w:t>
      </w:r>
      <w:r w:rsidRPr="00C75121" w:rsidR="00A110D9">
        <w:rPr>
          <w:sz w:val="24"/>
          <w:szCs w:val="24"/>
        </w:rPr>
        <w:tab/>
      </w:r>
      <w:r w:rsidRPr="00C75121">
        <w:rPr>
          <w:sz w:val="24"/>
          <w:szCs w:val="24"/>
        </w:rPr>
        <w:t>Proposition de règlement du Parlement européen et du Conseil établissant un cadre visant à renforcer la disponibilité et la sécurité de l’approvisionnement en médicaments critiques ainsi que la disponibilité et l’accessibilité des médicaments d’intérêt commun, et modifiant le règlement (UE) 2024/795 (</w:t>
      </w:r>
      <w:r w:rsidRPr="00C75121">
        <w:rPr>
          <w:sz w:val="24"/>
          <w:szCs w:val="24"/>
        </w:rPr>
        <w:t>COM(</w:t>
      </w:r>
      <w:r w:rsidRPr="00C75121">
        <w:rPr>
          <w:sz w:val="24"/>
          <w:szCs w:val="24"/>
        </w:rPr>
        <w:t>2025)0102), présentée par la Commission le 11 mars 2025.</w:t>
      </w:r>
    </w:p>
  </w:footnote>
  <w:footnote w:id="48">
    <w:p w:rsidR="009D2B59" w:rsidRPr="00C75121" w:rsidP="00A110D9" w14:paraId="33B357EA" w14:textId="2F37195F">
      <w:pPr>
        <w:pStyle w:val="FootnoteText"/>
        <w:ind w:left="567" w:hanging="567"/>
        <w:rPr>
          <w:sz w:val="24"/>
          <w:szCs w:val="24"/>
        </w:rPr>
      </w:pPr>
      <w:r w:rsidRPr="00C75121">
        <w:rPr>
          <w:rStyle w:val="FootnoteReference"/>
          <w:sz w:val="24"/>
          <w:szCs w:val="24"/>
        </w:rPr>
        <w:footnoteRef/>
      </w:r>
      <w:r w:rsidRPr="00C75121" w:rsidR="00A110D9">
        <w:rPr>
          <w:sz w:val="24"/>
          <w:szCs w:val="24"/>
        </w:rPr>
        <w:t xml:space="preserve"> </w:t>
      </w:r>
      <w:r w:rsidRPr="00C75121" w:rsidR="00A110D9">
        <w:rPr>
          <w:sz w:val="24"/>
          <w:szCs w:val="24"/>
        </w:rPr>
        <w:tab/>
      </w:r>
      <w:r w:rsidRPr="00C75121">
        <w:rPr>
          <w:sz w:val="24"/>
          <w:szCs w:val="24"/>
        </w:rPr>
        <w:t>Ballotari</w:t>
      </w:r>
      <w:r w:rsidRPr="00C75121">
        <w:rPr>
          <w:sz w:val="24"/>
          <w:szCs w:val="24"/>
        </w:rPr>
        <w:t xml:space="preserve">, P., </w:t>
      </w:r>
      <w:r w:rsidRPr="00C75121">
        <w:rPr>
          <w:sz w:val="24"/>
          <w:szCs w:val="24"/>
        </w:rPr>
        <w:t>Ranieri</w:t>
      </w:r>
      <w:r w:rsidRPr="00C75121">
        <w:rPr>
          <w:sz w:val="24"/>
          <w:szCs w:val="24"/>
        </w:rPr>
        <w:t xml:space="preserve">, S.C., </w:t>
      </w:r>
      <w:r w:rsidRPr="00C75121">
        <w:rPr>
          <w:sz w:val="24"/>
          <w:szCs w:val="24"/>
        </w:rPr>
        <w:t>Luberto</w:t>
      </w:r>
      <w:r w:rsidRPr="00C75121">
        <w:rPr>
          <w:sz w:val="24"/>
          <w:szCs w:val="24"/>
        </w:rPr>
        <w:t xml:space="preserve">, F., </w:t>
      </w:r>
      <w:r w:rsidRPr="00C75121">
        <w:rPr>
          <w:sz w:val="24"/>
          <w:szCs w:val="24"/>
        </w:rPr>
        <w:t>Caroli</w:t>
      </w:r>
      <w:r w:rsidRPr="00C75121">
        <w:rPr>
          <w:sz w:val="24"/>
          <w:szCs w:val="24"/>
        </w:rPr>
        <w:t xml:space="preserve">, S., </w:t>
      </w:r>
      <w:r w:rsidRPr="00C75121">
        <w:rPr>
          <w:sz w:val="24"/>
          <w:szCs w:val="24"/>
        </w:rPr>
        <w:t>Greci</w:t>
      </w:r>
      <w:r w:rsidRPr="00C75121">
        <w:rPr>
          <w:sz w:val="24"/>
          <w:szCs w:val="24"/>
        </w:rPr>
        <w:t>, M. et al.,</w:t>
      </w:r>
      <w:r w:rsidRPr="00C75121">
        <w:rPr>
          <w:sz w:val="24"/>
          <w:szCs w:val="24"/>
        </w:rPr>
        <w:t xml:space="preserve"> «</w:t>
      </w:r>
      <w:r w:rsidRPr="00C75121">
        <w:rPr>
          <w:sz w:val="24"/>
          <w:szCs w:val="24"/>
        </w:rPr>
        <w:t>Sex</w:t>
      </w:r>
      <w:r w:rsidRPr="00C75121">
        <w:rPr>
          <w:sz w:val="24"/>
          <w:szCs w:val="24"/>
        </w:rPr>
        <w:t xml:space="preserve"> </w:t>
      </w:r>
      <w:r w:rsidRPr="00C75121">
        <w:rPr>
          <w:sz w:val="24"/>
          <w:szCs w:val="24"/>
        </w:rPr>
        <w:t>differences</w:t>
      </w:r>
      <w:r w:rsidRPr="00C75121">
        <w:rPr>
          <w:sz w:val="24"/>
          <w:szCs w:val="24"/>
        </w:rPr>
        <w:t xml:space="preserve"> in </w:t>
      </w:r>
      <w:r w:rsidRPr="00C75121">
        <w:rPr>
          <w:sz w:val="24"/>
          <w:szCs w:val="24"/>
        </w:rPr>
        <w:t>cardiovascular</w:t>
      </w:r>
      <w:r w:rsidRPr="00C75121">
        <w:rPr>
          <w:sz w:val="24"/>
          <w:szCs w:val="24"/>
        </w:rPr>
        <w:t xml:space="preserve"> </w:t>
      </w:r>
      <w:r w:rsidRPr="00C75121">
        <w:rPr>
          <w:sz w:val="24"/>
          <w:szCs w:val="24"/>
        </w:rPr>
        <w:t>mortality</w:t>
      </w:r>
      <w:r w:rsidRPr="00C75121">
        <w:rPr>
          <w:sz w:val="24"/>
          <w:szCs w:val="24"/>
        </w:rPr>
        <w:t xml:space="preserve"> in </w:t>
      </w:r>
      <w:r w:rsidRPr="00C75121">
        <w:rPr>
          <w:sz w:val="24"/>
          <w:szCs w:val="24"/>
        </w:rPr>
        <w:t>diabetics</w:t>
      </w:r>
      <w:r w:rsidRPr="00C75121">
        <w:rPr>
          <w:sz w:val="24"/>
          <w:szCs w:val="24"/>
        </w:rPr>
        <w:t xml:space="preserve"> and </w:t>
      </w:r>
      <w:r w:rsidRPr="00C75121">
        <w:rPr>
          <w:sz w:val="24"/>
          <w:szCs w:val="24"/>
        </w:rPr>
        <w:t>nondiabetic</w:t>
      </w:r>
      <w:r w:rsidRPr="00C75121">
        <w:rPr>
          <w:sz w:val="24"/>
          <w:szCs w:val="24"/>
        </w:rPr>
        <w:t xml:space="preserve"> </w:t>
      </w:r>
      <w:r w:rsidRPr="00C75121">
        <w:rPr>
          <w:sz w:val="24"/>
          <w:szCs w:val="24"/>
        </w:rPr>
        <w:t>subjects</w:t>
      </w:r>
      <w:r w:rsidRPr="00C75121">
        <w:rPr>
          <w:sz w:val="24"/>
          <w:szCs w:val="24"/>
        </w:rPr>
        <w:t xml:space="preserve">: </w:t>
      </w:r>
      <w:r w:rsidRPr="00C75121">
        <w:rPr>
          <w:sz w:val="24"/>
          <w:szCs w:val="24"/>
        </w:rPr>
        <w:t>a</w:t>
      </w:r>
      <w:r w:rsidRPr="00C75121">
        <w:rPr>
          <w:sz w:val="24"/>
          <w:szCs w:val="24"/>
        </w:rPr>
        <w:t xml:space="preserve"> population-</w:t>
      </w:r>
      <w:r w:rsidRPr="00C75121">
        <w:rPr>
          <w:sz w:val="24"/>
          <w:szCs w:val="24"/>
        </w:rPr>
        <w:t>based</w:t>
      </w:r>
      <w:r w:rsidRPr="00C75121">
        <w:rPr>
          <w:sz w:val="24"/>
          <w:szCs w:val="24"/>
        </w:rPr>
        <w:t xml:space="preserve"> </w:t>
      </w:r>
      <w:r w:rsidRPr="00C75121">
        <w:rPr>
          <w:sz w:val="24"/>
          <w:szCs w:val="24"/>
        </w:rPr>
        <w:t>study</w:t>
      </w:r>
      <w:r w:rsidRPr="00C75121">
        <w:rPr>
          <w:sz w:val="24"/>
          <w:szCs w:val="24"/>
        </w:rPr>
        <w:t xml:space="preserve"> (</w:t>
      </w:r>
      <w:r w:rsidRPr="00C75121">
        <w:rPr>
          <w:sz w:val="24"/>
          <w:szCs w:val="24"/>
        </w:rPr>
        <w:t>Italy</w:t>
      </w:r>
      <w:r w:rsidRPr="00C75121">
        <w:rPr>
          <w:sz w:val="24"/>
          <w:szCs w:val="24"/>
        </w:rPr>
        <w:t>)»,</w:t>
      </w:r>
      <w:r w:rsidRPr="00C75121">
        <w:rPr>
          <w:i/>
          <w:sz w:val="24"/>
          <w:szCs w:val="24"/>
        </w:rPr>
        <w:t xml:space="preserve"> International Journal of </w:t>
      </w:r>
      <w:r w:rsidRPr="00C75121">
        <w:rPr>
          <w:i/>
          <w:sz w:val="24"/>
          <w:szCs w:val="24"/>
        </w:rPr>
        <w:t>Endocrinology</w:t>
      </w:r>
      <w:r w:rsidRPr="00C75121">
        <w:rPr>
          <w:sz w:val="24"/>
          <w:szCs w:val="24"/>
        </w:rPr>
        <w:t xml:space="preserve">, 2015, </w:t>
      </w:r>
      <w:hyperlink r:id="rId36" w:history="1">
        <w:r w:rsidRPr="00C75121">
          <w:rPr>
            <w:rStyle w:val="Hyperlink"/>
            <w:sz w:val="24"/>
            <w:szCs w:val="24"/>
          </w:rPr>
          <w:t>https://doi.org/10.1155/2015/914057</w:t>
        </w:r>
      </w:hyperlink>
      <w:r w:rsidRPr="00C75121">
        <w:rPr>
          <w:sz w:val="24"/>
          <w:szCs w:val="24"/>
        </w:rPr>
        <w:t>.</w:t>
      </w:r>
      <w:hyperlink r:id="rId37" w:history="1">
        <w:r w:rsidRPr="00C75121">
          <w:rPr>
            <w:rStyle w:val="Hyperlink"/>
            <w:sz w:val="24"/>
            <w:szCs w:val="24"/>
          </w:rPr>
          <w:t>https://pmc.ncbi.nlm.nih.gov/articles/PMC4385659/</w:t>
        </w:r>
      </w:hyperlink>
      <w:r w:rsidRPr="00C75121">
        <w:rPr>
          <w:sz w:val="24"/>
          <w:szCs w:val="24"/>
        </w:rPr>
        <w:t xml:space="preserve">. </w:t>
      </w:r>
    </w:p>
  </w:footnote>
  <w:footnote w:id="49">
    <w:p w:rsidR="009D2B59" w:rsidRPr="00C75121" w:rsidP="00A110D9" w14:paraId="02408CAB" w14:textId="5CE4D049">
      <w:pPr>
        <w:pStyle w:val="FootnoteText"/>
        <w:ind w:left="567" w:hanging="567"/>
        <w:rPr>
          <w:sz w:val="24"/>
          <w:szCs w:val="24"/>
        </w:rPr>
      </w:pPr>
      <w:r w:rsidRPr="00C75121">
        <w:rPr>
          <w:rStyle w:val="FootnoteReference"/>
          <w:sz w:val="24"/>
          <w:szCs w:val="24"/>
        </w:rPr>
        <w:footnoteRef/>
      </w:r>
      <w:r w:rsidRPr="00C75121" w:rsidR="00A110D9">
        <w:rPr>
          <w:sz w:val="24"/>
          <w:szCs w:val="24"/>
        </w:rPr>
        <w:t xml:space="preserve"> </w:t>
      </w:r>
      <w:r w:rsidRPr="00C75121" w:rsidR="00A110D9">
        <w:rPr>
          <w:sz w:val="24"/>
          <w:szCs w:val="24"/>
        </w:rPr>
        <w:tab/>
      </w:r>
      <w:r w:rsidRPr="00C75121">
        <w:rPr>
          <w:sz w:val="24"/>
          <w:szCs w:val="24"/>
        </w:rPr>
        <w:t xml:space="preserve">Proposition de règlement du Parlement européen et du Conseil relative à l’établissement d’un cadre de mesures destinées à renforcer les secteurs des biotechnologies et de la </w:t>
      </w:r>
      <w:r w:rsidRPr="00C75121">
        <w:rPr>
          <w:sz w:val="24"/>
          <w:szCs w:val="24"/>
        </w:rPr>
        <w:t>bioproduction</w:t>
      </w:r>
      <w:r w:rsidRPr="00C75121">
        <w:rPr>
          <w:sz w:val="24"/>
          <w:szCs w:val="24"/>
        </w:rPr>
        <w:t xml:space="preserve"> de l’Union, en particulier dans le domaine de la santé, et modifiant les règlements (CE) nº 178/2002, (CE) nº 1394/2007, (UE) nº 536/2014, (UE) 2019/6, (UE) 2024/795 et (UE) 2024/1938 (règlement européen sur les biotechnologies) (</w:t>
      </w:r>
      <w:r w:rsidRPr="00C75121">
        <w:rPr>
          <w:sz w:val="24"/>
          <w:szCs w:val="24"/>
        </w:rPr>
        <w:t>COM(</w:t>
      </w:r>
      <w:r w:rsidRPr="00C75121">
        <w:rPr>
          <w:sz w:val="24"/>
          <w:szCs w:val="24"/>
        </w:rPr>
        <w:t>2025)1022), présentée par la Commission le 16 décembre 2025.</w:t>
      </w:r>
    </w:p>
  </w:footnote>
  <w:footnote w:id="50">
    <w:p w:rsidR="009D2B59" w:rsidRPr="00C75121" w:rsidP="00A110D9" w14:paraId="01613BBD" w14:textId="07E6CD9D">
      <w:pPr>
        <w:pStyle w:val="FootnoteText"/>
        <w:ind w:left="567" w:hanging="567"/>
        <w:rPr>
          <w:sz w:val="24"/>
          <w:szCs w:val="24"/>
        </w:rPr>
      </w:pPr>
      <w:r w:rsidRPr="00C75121">
        <w:rPr>
          <w:rStyle w:val="FootnoteReference"/>
          <w:sz w:val="24"/>
          <w:szCs w:val="24"/>
        </w:rPr>
        <w:footnoteRef/>
      </w:r>
      <w:r w:rsidRPr="00C75121" w:rsidR="00A110D9">
        <w:rPr>
          <w:sz w:val="24"/>
          <w:szCs w:val="24"/>
        </w:rPr>
        <w:t xml:space="preserve"> </w:t>
      </w:r>
      <w:r w:rsidRPr="00C75121" w:rsidR="00A110D9">
        <w:rPr>
          <w:sz w:val="24"/>
          <w:szCs w:val="24"/>
        </w:rPr>
        <w:tab/>
      </w:r>
      <w:r w:rsidRPr="00C75121">
        <w:rPr>
          <w:sz w:val="24"/>
          <w:szCs w:val="24"/>
        </w:rPr>
        <w:t xml:space="preserve">Règlement (UE) 2021/2282 du Parlement européen et du Conseil du 15 décembre 2021 concernant l’évaluation des technologies de la santé et modifiant la directive 2011/24/UE (JO L 458 du 22.12.2021, p. 1, </w:t>
      </w:r>
      <w:r w:rsidRPr="00C75121">
        <w:rPr>
          <w:sz w:val="24"/>
          <w:szCs w:val="24"/>
        </w:rPr>
        <w:t>ELI:</w:t>
      </w:r>
      <w:r w:rsidRPr="00C75121">
        <w:rPr>
          <w:sz w:val="24"/>
          <w:szCs w:val="24"/>
        </w:rPr>
        <w:t xml:space="preserve"> </w:t>
      </w:r>
      <w:hyperlink r:id="rId38" w:history="1">
        <w:r w:rsidRPr="00C75121">
          <w:rPr>
            <w:rStyle w:val="Hyperlink"/>
            <w:sz w:val="24"/>
            <w:szCs w:val="24"/>
          </w:rPr>
          <w:t>http://data.europa.eu/eli/reg/2021/2282/oj</w:t>
        </w:r>
      </w:hyperlink>
      <w:r w:rsidRPr="00C75121">
        <w:rPr>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4002" w:rsidRPr="00A110D9" w14:paraId="4E3CFAAD"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4002" w:rsidRPr="00A110D9" w14:paraId="3121F479"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4002" w:rsidRPr="00A110D9" w14:paraId="0393464F"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5B22A8A2"/>
    <w:lvl w:ilvl="0">
      <w:start w:val="1"/>
      <w:numFmt w:val="decimal"/>
      <w:lvlText w:val="%1."/>
      <w:lvlJc w:val="left"/>
      <w:pPr>
        <w:tabs>
          <w:tab w:val="num" w:pos="1492"/>
        </w:tabs>
        <w:ind w:left="1492" w:hanging="360"/>
      </w:pPr>
    </w:lvl>
  </w:abstractNum>
  <w:abstractNum w:abstractNumId="1">
    <w:nsid w:val="FFFFFF7D"/>
    <w:multiLevelType w:val="singleLevel"/>
    <w:tmpl w:val="D0C0EE6C"/>
    <w:lvl w:ilvl="0">
      <w:start w:val="1"/>
      <w:numFmt w:val="decimal"/>
      <w:lvlText w:val="%1."/>
      <w:lvlJc w:val="left"/>
      <w:pPr>
        <w:tabs>
          <w:tab w:val="num" w:pos="1209"/>
        </w:tabs>
        <w:ind w:left="1209" w:hanging="360"/>
      </w:pPr>
    </w:lvl>
  </w:abstractNum>
  <w:abstractNum w:abstractNumId="2">
    <w:nsid w:val="FFFFFF7E"/>
    <w:multiLevelType w:val="singleLevel"/>
    <w:tmpl w:val="BFB40F5E"/>
    <w:lvl w:ilvl="0">
      <w:start w:val="1"/>
      <w:numFmt w:val="decimal"/>
      <w:lvlText w:val="%1."/>
      <w:lvlJc w:val="left"/>
      <w:pPr>
        <w:tabs>
          <w:tab w:val="num" w:pos="926"/>
        </w:tabs>
        <w:ind w:left="926" w:hanging="360"/>
      </w:pPr>
    </w:lvl>
  </w:abstractNum>
  <w:abstractNum w:abstractNumId="3">
    <w:nsid w:val="FFFFFF7F"/>
    <w:multiLevelType w:val="singleLevel"/>
    <w:tmpl w:val="BF525DAA"/>
    <w:lvl w:ilvl="0">
      <w:start w:val="1"/>
      <w:numFmt w:val="decimal"/>
      <w:lvlText w:val="%1."/>
      <w:lvlJc w:val="left"/>
      <w:pPr>
        <w:tabs>
          <w:tab w:val="num" w:pos="643"/>
        </w:tabs>
        <w:ind w:left="643" w:hanging="360"/>
      </w:pPr>
    </w:lvl>
  </w:abstractNum>
  <w:abstractNum w:abstractNumId="4">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92AAA74"/>
    <w:lvl w:ilvl="0">
      <w:start w:val="1"/>
      <w:numFmt w:val="decimal"/>
      <w:lvlText w:val="%1."/>
      <w:lvlJc w:val="left"/>
      <w:pPr>
        <w:tabs>
          <w:tab w:val="num" w:pos="360"/>
        </w:tabs>
        <w:ind w:left="360" w:hanging="360"/>
      </w:pPr>
    </w:lvl>
  </w:abstractNum>
  <w:abstractNum w:abstractNumId="9">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mirrorMargin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DB8"/>
    <w:rsid w:val="00002272"/>
    <w:rsid w:val="00061DB8"/>
    <w:rsid w:val="00064002"/>
    <w:rsid w:val="000677B9"/>
    <w:rsid w:val="000831BA"/>
    <w:rsid w:val="000A42CC"/>
    <w:rsid w:val="000E7DD9"/>
    <w:rsid w:val="0010095E"/>
    <w:rsid w:val="00125B37"/>
    <w:rsid w:val="00187494"/>
    <w:rsid w:val="001F32AE"/>
    <w:rsid w:val="002028BF"/>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764ED"/>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464E"/>
    <w:rsid w:val="00887B3E"/>
    <w:rsid w:val="00895098"/>
    <w:rsid w:val="008A28FC"/>
    <w:rsid w:val="008C2AC6"/>
    <w:rsid w:val="00930C23"/>
    <w:rsid w:val="0093193B"/>
    <w:rsid w:val="009509D8"/>
    <w:rsid w:val="00950B64"/>
    <w:rsid w:val="00967E00"/>
    <w:rsid w:val="00981893"/>
    <w:rsid w:val="009D2B59"/>
    <w:rsid w:val="00A110D9"/>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75121"/>
    <w:rsid w:val="00C941CB"/>
    <w:rsid w:val="00CC2357"/>
    <w:rsid w:val="00CF071A"/>
    <w:rsid w:val="00D058B8"/>
    <w:rsid w:val="00D56C11"/>
    <w:rsid w:val="00D834A0"/>
    <w:rsid w:val="00D872DF"/>
    <w:rsid w:val="00D91E21"/>
    <w:rsid w:val="00DA7FCD"/>
    <w:rsid w:val="00E24506"/>
    <w:rsid w:val="00E365E1"/>
    <w:rsid w:val="00E820A4"/>
    <w:rsid w:val="00EB006A"/>
    <w:rsid w:val="00EB4772"/>
    <w:rsid w:val="00ED169E"/>
    <w:rsid w:val="00ED4235"/>
    <w:rsid w:val="00F04346"/>
    <w:rsid w:val="00F075DC"/>
    <w:rsid w:val="00F149E9"/>
    <w:rsid w:val="00F5134D"/>
    <w:rsid w:val="00F74202"/>
    <w:rsid w:val="00F87713"/>
    <w:rsid w:val="00FB4360"/>
    <w:rsid w:val="00FD0C70"/>
  </w:rsids>
  <w:docVars>
    <w:docVar w:name="dvdocse" w:val="A10-0221/2026"/>
    <w:docVar w:name="dvlangue" w:val="FR"/>
    <w:docVar w:name="dvnumam" w:val="0"/>
    <w:docVar w:name="dvpe" w:val="782.349"/>
    <w:docVar w:name="dvrapporteur" w:val="Rapporteure: "/>
    <w:docVar w:name="dvtitre" w:val="Résolution du Parlement européen du ... 2026 sur une stratégie de l’Union européenne en matière de maladies cardiovasculaires(2025/2132(INI))"/>
  </w:docVars>
  <m:mathPr>
    <m:mathFont m:val="Cambria Math"/>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15:chartTrackingRefBased/>
  <w15:docId w15:val="{F2FA7EB7-B3E4-4B16-8A4D-0C7C4EE76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fr-FR"/>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eastAsia="fr-FR"/>
    </w:rPr>
  </w:style>
  <w:style w:type="paragraph" w:styleId="TOC3">
    <w:name w:val="toc 3"/>
    <w:basedOn w:val="Normal"/>
    <w:next w:val="Normal"/>
    <w:autoRedefine/>
    <w:semiHidden/>
    <w:rsid w:val="00395FA1"/>
    <w:pPr>
      <w:keepLines/>
      <w:widowControl/>
      <w:ind w:right="510"/>
    </w:pPr>
    <w:rPr>
      <w:noProof/>
      <w:lang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rsid w:val="009D2B59"/>
    <w:rPr>
      <w:b/>
    </w:rPr>
  </w:style>
  <w:style w:type="paragraph" w:customStyle="1" w:styleId="NormalHanging12a">
    <w:name w:val="NormalHanging12a"/>
    <w:basedOn w:val="Normal"/>
    <w:rsid w:val="009D2B59"/>
    <w:pPr>
      <w:spacing w:after="240"/>
      <w:ind w:left="567" w:hanging="567"/>
    </w:pPr>
  </w:style>
  <w:style w:type="paragraph" w:customStyle="1" w:styleId="EPComma">
    <w:name w:val="EPComma"/>
    <w:basedOn w:val="Normal"/>
    <w:rsid w:val="009D2B59"/>
    <w:pPr>
      <w:spacing w:before="480" w:after="240"/>
    </w:pPr>
  </w:style>
  <w:style w:type="character" w:styleId="Hyperlink">
    <w:name w:val="Hyperlink"/>
    <w:basedOn w:val="DefaultParagraphFont"/>
    <w:uiPriority w:val="99"/>
    <w:unhideWhenUsed/>
    <w:rsid w:val="009D2B59"/>
    <w:rPr>
      <w:rFonts w:cs="Times New Roman"/>
      <w:color w:val="0563C1" w:themeColor="hyperlink"/>
      <w:u w:val="single"/>
    </w:rPr>
  </w:style>
  <w:style w:type="character" w:styleId="FollowedHyperlink">
    <w:name w:val="FollowedHyperlink"/>
    <w:basedOn w:val="DefaultParagraphFont"/>
    <w:rsid w:val="00C7512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footnotes.xml.rels>&#65279;<?xml version="1.0" encoding="utf-8" standalone="yes"?><Relationships xmlns="http://schemas.openxmlformats.org/package/2006/relationships"><Relationship Id="rId1" Type="http://schemas.openxmlformats.org/officeDocument/2006/relationships/hyperlink" Target="http://data.europa.eu/eli/reg/2025/327/oj" TargetMode="External" /><Relationship Id="rId10" Type="http://schemas.openxmlformats.org/officeDocument/2006/relationships/hyperlink" Target="http://data.europa.eu/eli/C/2024/4171/oj" TargetMode="External" /><Relationship Id="rId11" Type="http://schemas.openxmlformats.org/officeDocument/2006/relationships/hyperlink" Target="https://www.eea.europa.eu/en/analysis/publications/beating-cardiovascular-disease-the-role-of-europes-environment" TargetMode="External" /><Relationship Id="rId12" Type="http://schemas.openxmlformats.org/officeDocument/2006/relationships/hyperlink" Target="https://world-heart-federation.org/what-we-do/prevention/" TargetMode="External" /><Relationship Id="rId13" Type="http://schemas.openxmlformats.org/officeDocument/2006/relationships/hyperlink" Target="https://www.oecd.org/en/publications/the-state-of-cardiovascular-health-in-the-european-union_ea7a15f4-en/full-report/preventing-and-identifying-cvd-targeting-key-risk-factors_df4bf1f4.html" TargetMode="External" /><Relationship Id="rId14" Type="http://schemas.openxmlformats.org/officeDocument/2006/relationships/hyperlink" Target="https://www.oecd.org/en/publications/the-heavy-burden-of-obesity_67450d67-en/full-report/component-6.html" TargetMode="External" /><Relationship Id="rId15" Type="http://schemas.openxmlformats.org/officeDocument/2006/relationships/hyperlink" Target="https://www.revespcardiol.org/en-psychiatric-behavioral-aspects-cardiovascular-disease-articulo-S1885585711004683" TargetMode="External" /><Relationship Id="rId16" Type="http://schemas.openxmlformats.org/officeDocument/2006/relationships/hyperlink" Target="https://pmc.ncbi.nlm.nih.gov/articles/PMC7068361/" TargetMode="External" /><Relationship Id="rId17" Type="http://schemas.openxmlformats.org/officeDocument/2006/relationships/hyperlink" Target="https://www.eea.europa.eu/en/analysis/publications/unequal-exposure-and-unequal-impacts" TargetMode="External" /><Relationship Id="rId18" Type="http://schemas.openxmlformats.org/officeDocument/2006/relationships/hyperlink" Target="https://www.who.int/europe/publications/i/item/WHO-EURO-2019-3507-43266-60638." TargetMode="External" /><Relationship Id="rId19" Type="http://schemas.openxmlformats.org/officeDocument/2006/relationships/hyperlink" Target="https://doi.org/10.1186/s12905-025-03927-5" TargetMode="External" /><Relationship Id="rId2" Type="http://schemas.openxmlformats.org/officeDocument/2006/relationships/hyperlink" Target="http://data.europa.eu/eli/dir/2014/40/oj" TargetMode="External" /><Relationship Id="rId20" Type="http://schemas.openxmlformats.org/officeDocument/2006/relationships/hyperlink" Target="https://doi.org/10.1093/ejendo/lvad077" TargetMode="External" /><Relationship Id="rId21" Type="http://schemas.openxmlformats.org/officeDocument/2006/relationships/hyperlink" Target="https://pmc.ncbi.nlm.nih.gov/articles/PMC8835179/" TargetMode="External" /><Relationship Id="rId22" Type="http://schemas.openxmlformats.org/officeDocument/2006/relationships/hyperlink" Target="https://www.escardio.org/news/press/press-releases/avoidable-inequalities-remain-in-cardiovascular-disease-burden-and-care/" TargetMode="External" /><Relationship Id="rId23" Type="http://schemas.openxmlformats.org/officeDocument/2006/relationships/hyperlink" Target="https://www.cdc.gov/public-health-gateway/php/about/social-determinants-of-health.html" TargetMode="External" /><Relationship Id="rId24" Type="http://schemas.openxmlformats.org/officeDocument/2006/relationships/hyperlink" Target="https://www.who.int/health-topics/social-determinants-of-health" TargetMode="External" /><Relationship Id="rId25" Type="http://schemas.openxmlformats.org/officeDocument/2006/relationships/hyperlink" Target="https://pubmed.ncbi.nlm.nih.gov/37290538/" TargetMode="External" /><Relationship Id="rId26" Type="http://schemas.openxmlformats.org/officeDocument/2006/relationships/hyperlink" Target="https://doi.org/10.1016/j.envint.2021.106961" TargetMode="External" /><Relationship Id="rId27" Type="http://schemas.openxmlformats.org/officeDocument/2006/relationships/hyperlink" Target="https://www.who.int/publications/i/item/9789240015128" TargetMode="External" /><Relationship Id="rId28" Type="http://schemas.openxmlformats.org/officeDocument/2006/relationships/hyperlink" Target="https://www.who.int/europe/news/item/07-05-2018-fostering-healthier-and-more-sustainable-diets-learning-from-the-mediterranean-and-new-nordic-experience" TargetMode="External" /><Relationship Id="rId29" Type="http://schemas.openxmlformats.org/officeDocument/2006/relationships/hyperlink" Target="https://www.thieme-connect.com/products/ejournals/abstract/10.1055/a-2747-5734?id=&amp;lang=en" TargetMode="External" /><Relationship Id="rId3" Type="http://schemas.openxmlformats.org/officeDocument/2006/relationships/hyperlink" Target="http://data.europa.eu/eli/dir/2011/64/oj" TargetMode="External" /><Relationship Id="rId30" Type="http://schemas.openxmlformats.org/officeDocument/2006/relationships/hyperlink" Target="https://ec.europa.eu/eurostat/statistics-explained/index.php?title=Nutritional_habits_statistics" TargetMode="External" /><Relationship Id="rId31" Type="http://schemas.openxmlformats.org/officeDocument/2006/relationships/hyperlink" Target="https://scientificadvice.eu/scientific-outputs/towards-sustainable-food-consumption-evidence-review-report/" TargetMode="External" /><Relationship Id="rId32" Type="http://schemas.openxmlformats.org/officeDocument/2006/relationships/hyperlink" Target="http://data.europa.eu/eli/dir/2010/13/oj" TargetMode="External" /><Relationship Id="rId33" Type="http://schemas.openxmlformats.org/officeDocument/2006/relationships/hyperlink" Target="http://data.europa.eu/eli/dir/2003/33/oj" TargetMode="External" /><Relationship Id="rId34" Type="http://schemas.openxmlformats.org/officeDocument/2006/relationships/hyperlink" Target="http://data.europa.eu/eli/dir/1992/83/oj" TargetMode="External" /><Relationship Id="rId35" Type="http://schemas.openxmlformats.org/officeDocument/2006/relationships/hyperlink" Target="http://data.europa.eu/eli/reg/2022/2065/oj" TargetMode="External" /><Relationship Id="rId36" Type="http://schemas.openxmlformats.org/officeDocument/2006/relationships/hyperlink" Target="https://doi.org/10.1155/2015/914057" TargetMode="External" /><Relationship Id="rId37" Type="http://schemas.openxmlformats.org/officeDocument/2006/relationships/hyperlink" Target="https://pmc.ncbi.nlm.nih.gov/articles/PMC4385659/" TargetMode="External" /><Relationship Id="rId38" Type="http://schemas.openxmlformats.org/officeDocument/2006/relationships/hyperlink" Target="http://data.europa.eu/eli/reg/2021/2282/oj" TargetMode="External" /><Relationship Id="rId4" Type="http://schemas.openxmlformats.org/officeDocument/2006/relationships/hyperlink" Target="http://data.europa.eu/eli/dir/2005/29/oj" TargetMode="External" /><Relationship Id="rId5" Type="http://schemas.openxmlformats.org/officeDocument/2006/relationships/hyperlink" Target="http://data.europa.eu/eli/reg/2006/1924/oj" TargetMode="External" /><Relationship Id="rId6" Type="http://schemas.openxmlformats.org/officeDocument/2006/relationships/hyperlink" Target="http://data.europa.eu/eli/dir/2008/50/oj" TargetMode="External" /><Relationship Id="rId7" Type="http://schemas.openxmlformats.org/officeDocument/2006/relationships/hyperlink" Target="http://data.europa.eu/eli/dir/2002/49/oj" TargetMode="External" /><Relationship Id="rId8" Type="http://schemas.openxmlformats.org/officeDocument/2006/relationships/hyperlink" Target="http://data.europa.eu/eli/dir/2011/24/oj" TargetMode="External" /><Relationship Id="rId9" Type="http://schemas.openxmlformats.org/officeDocument/2006/relationships/hyperlink" Target="http://data.europa.eu/eli/dir/2016/2284/oj"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21367</Words>
  <Characters>125100</Characters>
  <Application>Microsoft Office Word</Application>
  <DocSecurity>0</DocSecurity>
  <Lines>3207</Lines>
  <Paragraphs>1902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144565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creator>European Parliament</dc:creator>
  <cp:lastModifiedBy>European Parliament</cp:lastModifiedBy>
  <cp:revision>2</cp:revision>
  <cp:lastPrinted>2004-11-19T15:42:00Z</cp:lastPrinted>
  <dcterms:created xsi:type="dcterms:W3CDTF">2026-09-16T11:55:00Z</dcterms:created>
  <dcterms:modified xsi:type="dcterms:W3CDTF">2026-09-16T11:55:00Z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FR</vt:lpwstr>
  </property>
  <property fmtid="{D5CDD505-2E9C-101B-9397-08002B2CF9AE}" pid="3" name="&lt;FdR&gt;">
    <vt:lpwstr>A10-0221/2026</vt:lpwstr>
  </property>
  <property fmtid="{D5CDD505-2E9C-101B-9397-08002B2CF9AE}" pid="4" name="&lt;Type&gt;">
    <vt:lpwstr>RR</vt:lpwstr>
  </property>
</Properties>
</file>